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87A6" w14:textId="4249E5AD" w:rsidR="0046463C" w:rsidRPr="001B2D52" w:rsidRDefault="00A854D0" w:rsidP="29DF077E">
      <w:pPr>
        <w:tabs>
          <w:tab w:val="left" w:pos="950"/>
        </w:tabs>
        <w:autoSpaceDE/>
        <w:autoSpaceDN/>
        <w:adjustRightInd/>
        <w:spacing w:after="0"/>
        <w:jc w:val="left"/>
        <w:rPr>
          <w:rFonts w:cs="Arial"/>
          <w:highlight w:val="yellow"/>
        </w:rPr>
        <w:sectPr w:rsidR="0046463C" w:rsidRPr="001B2D52" w:rsidSect="0046463C">
          <w:headerReference w:type="even" r:id="rId11"/>
          <w:headerReference w:type="default" r:id="rId12"/>
          <w:footerReference w:type="even" r:id="rId13"/>
          <w:footerReference w:type="default" r:id="rId14"/>
          <w:headerReference w:type="first" r:id="rId15"/>
          <w:footerReference w:type="first" r:id="rId16"/>
          <w:pgSz w:w="11900" w:h="16840" w:code="9"/>
          <w:pgMar w:top="1361" w:right="1361" w:bottom="1361" w:left="1361" w:header="709" w:footer="709" w:gutter="0"/>
          <w:cols w:space="292"/>
          <w:titlePg/>
          <w:docGrid w:linePitch="326"/>
        </w:sectPr>
      </w:pPr>
      <w:r w:rsidRPr="001B2D52">
        <w:rPr>
          <w:rFonts w:cs="Arial"/>
          <w:noProof/>
          <w:highlight w:val="yellow"/>
          <w:lang w:eastAsia="en-GB"/>
        </w:rPr>
        <mc:AlternateContent>
          <mc:Choice Requires="wps">
            <w:drawing>
              <wp:anchor distT="0" distB="0" distL="114300" distR="114300" simplePos="0" relativeHeight="251658240" behindDoc="0" locked="0" layoutInCell="1" allowOverlap="1" wp14:anchorId="2D9250B9" wp14:editId="27FCE422">
                <wp:simplePos x="0" y="0"/>
                <wp:positionH relativeFrom="column">
                  <wp:posOffset>-340360</wp:posOffset>
                </wp:positionH>
                <wp:positionV relativeFrom="paragraph">
                  <wp:posOffset>5869940</wp:posOffset>
                </wp:positionV>
                <wp:extent cx="6640195" cy="2476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11672" w14:textId="77777777" w:rsidR="00AA77EB" w:rsidRDefault="00AA77EB" w:rsidP="0046463C">
                            <w:pPr>
                              <w:spacing w:after="0"/>
                              <w:ind w:right="-46"/>
                              <w:jc w:val="left"/>
                              <w:rPr>
                                <w:rFonts w:cs="Arial"/>
                                <w:b/>
                                <w:bCs/>
                                <w:sz w:val="52"/>
                                <w:szCs w:val="52"/>
                              </w:rPr>
                            </w:pPr>
                          </w:p>
                          <w:p w14:paraId="1986FB31" w14:textId="77777777" w:rsidR="00AA77EB" w:rsidRDefault="00A854D0" w:rsidP="0046463C">
                            <w:pPr>
                              <w:spacing w:after="0"/>
                              <w:ind w:right="-46"/>
                              <w:jc w:val="left"/>
                              <w:rPr>
                                <w:rFonts w:cs="Arial"/>
                                <w:b/>
                                <w:bCs/>
                                <w:sz w:val="52"/>
                                <w:szCs w:val="52"/>
                              </w:rPr>
                            </w:pPr>
                            <w:r>
                              <w:rPr>
                                <w:rFonts w:cs="Arial"/>
                                <w:b/>
                                <w:bCs/>
                                <w:sz w:val="52"/>
                                <w:szCs w:val="52"/>
                              </w:rPr>
                              <w:t>Money Matters</w:t>
                            </w:r>
                          </w:p>
                          <w:p w14:paraId="6A5F503A" w14:textId="77777777" w:rsidR="00AA77EB" w:rsidRDefault="00A854D0" w:rsidP="0046463C">
                            <w:pPr>
                              <w:spacing w:after="0"/>
                              <w:ind w:right="-46"/>
                              <w:jc w:val="left"/>
                              <w:rPr>
                                <w:rFonts w:cs="Arial"/>
                                <w:b/>
                                <w:bCs/>
                                <w:sz w:val="52"/>
                                <w:szCs w:val="52"/>
                              </w:rPr>
                            </w:pPr>
                            <w:r>
                              <w:rPr>
                                <w:rFonts w:cs="Arial"/>
                                <w:b/>
                                <w:bCs/>
                                <w:sz w:val="52"/>
                                <w:szCs w:val="52"/>
                              </w:rPr>
                              <w:t>Financial Outlook for the County Council</w:t>
                            </w:r>
                          </w:p>
                          <w:p w14:paraId="6595C192" w14:textId="77777777" w:rsidR="00AA77EB" w:rsidRDefault="00A854D0" w:rsidP="0046463C">
                            <w:pPr>
                              <w:spacing w:after="0"/>
                              <w:ind w:right="-46"/>
                              <w:jc w:val="left"/>
                              <w:rPr>
                                <w:rFonts w:cs="Arial"/>
                                <w:b/>
                                <w:bCs/>
                                <w:sz w:val="52"/>
                                <w:szCs w:val="52"/>
                              </w:rPr>
                            </w:pPr>
                            <w:r>
                              <w:rPr>
                                <w:rFonts w:cs="Arial"/>
                                <w:b/>
                                <w:bCs/>
                                <w:sz w:val="52"/>
                                <w:szCs w:val="52"/>
                              </w:rPr>
                              <w:t>Medium Term Financial Strategy &amp; Reserves – Quarter 1 202</w:t>
                            </w:r>
                            <w:r w:rsidR="003A755A">
                              <w:rPr>
                                <w:rFonts w:cs="Arial"/>
                                <w:b/>
                                <w:bCs/>
                                <w:sz w:val="52"/>
                                <w:szCs w:val="52"/>
                              </w:rPr>
                              <w:t>2</w:t>
                            </w:r>
                            <w:r>
                              <w:rPr>
                                <w:rFonts w:cs="Arial"/>
                                <w:b/>
                                <w:bCs/>
                                <w:sz w:val="52"/>
                                <w:szCs w:val="52"/>
                              </w:rPr>
                              <w:t>/2</w:t>
                            </w:r>
                            <w:r w:rsidR="003A755A">
                              <w:rPr>
                                <w:rFonts w:cs="Arial"/>
                                <w:b/>
                                <w:bCs/>
                                <w:sz w:val="52"/>
                                <w:szCs w:val="52"/>
                              </w:rPr>
                              <w:t>3</w:t>
                            </w:r>
                          </w:p>
                          <w:p w14:paraId="3D2FEB96" w14:textId="77777777" w:rsidR="00AA77EB" w:rsidRPr="0037393E" w:rsidRDefault="00AA77EB" w:rsidP="0046463C">
                            <w:pPr>
                              <w:spacing w:after="0"/>
                              <w:ind w:right="-46"/>
                              <w:jc w:val="left"/>
                              <w:rPr>
                                <w:rFonts w:cs="Arial"/>
                                <w:b/>
                                <w:bCs/>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2D9250B9" id="_x0000_t202" coordsize="21600,21600" o:spt="202" path="m,l,21600r21600,l21600,xe">
                <v:stroke joinstyle="miter"/>
                <v:path gradientshapeok="t" o:connecttype="rect"/>
              </v:shapetype>
              <v:shape id="Text Box 4" o:spid="_x0000_s1026" type="#_x0000_t202" style="position:absolute;margin-left:-26.8pt;margin-top:462.2pt;width:522.8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" filled="f" stroked="f">
                <v:textbox>
                  <w:txbxContent>
                    <w:p w14:paraId="5BC11672" w14:textId="77777777" w:rsidR="00AA77EB" w:rsidRDefault="00AA77EB" w:rsidP="0046463C">
                      <w:pPr>
                        <w:spacing w:after="0"/>
                        <w:ind w:right="-46"/>
                        <w:jc w:val="left"/>
                        <w:rPr>
                          <w:rFonts w:cs="Arial"/>
                          <w:b/>
                          <w:bCs/>
                          <w:sz w:val="52"/>
                          <w:szCs w:val="52"/>
                        </w:rPr>
                      </w:pPr>
                    </w:p>
                    <w:p w14:paraId="1986FB31" w14:textId="77777777" w:rsidR="00AA77EB" w:rsidRDefault="00A854D0" w:rsidP="0046463C">
                      <w:pPr>
                        <w:spacing w:after="0"/>
                        <w:ind w:right="-46"/>
                        <w:jc w:val="left"/>
                        <w:rPr>
                          <w:rFonts w:cs="Arial"/>
                          <w:b/>
                          <w:bCs/>
                          <w:sz w:val="52"/>
                          <w:szCs w:val="52"/>
                        </w:rPr>
                      </w:pPr>
                      <w:r>
                        <w:rPr>
                          <w:rFonts w:cs="Arial"/>
                          <w:b/>
                          <w:bCs/>
                          <w:sz w:val="52"/>
                          <w:szCs w:val="52"/>
                        </w:rPr>
                        <w:t>Money Matters</w:t>
                      </w:r>
                    </w:p>
                    <w:p w14:paraId="6A5F503A" w14:textId="77777777" w:rsidR="00AA77EB" w:rsidRDefault="00A854D0" w:rsidP="0046463C">
                      <w:pPr>
                        <w:spacing w:after="0"/>
                        <w:ind w:right="-46"/>
                        <w:jc w:val="left"/>
                        <w:rPr>
                          <w:rFonts w:cs="Arial"/>
                          <w:b/>
                          <w:bCs/>
                          <w:sz w:val="52"/>
                          <w:szCs w:val="52"/>
                        </w:rPr>
                      </w:pPr>
                      <w:r>
                        <w:rPr>
                          <w:rFonts w:cs="Arial"/>
                          <w:b/>
                          <w:bCs/>
                          <w:sz w:val="52"/>
                          <w:szCs w:val="52"/>
                        </w:rPr>
                        <w:t>Financial Outlook for the County Council</w:t>
                      </w:r>
                    </w:p>
                    <w:p w14:paraId="6595C192" w14:textId="77777777" w:rsidR="00AA77EB" w:rsidRDefault="00A854D0" w:rsidP="0046463C">
                      <w:pPr>
                        <w:spacing w:after="0"/>
                        <w:ind w:right="-46"/>
                        <w:jc w:val="left"/>
                        <w:rPr>
                          <w:rFonts w:cs="Arial"/>
                          <w:b/>
                          <w:bCs/>
                          <w:sz w:val="52"/>
                          <w:szCs w:val="52"/>
                        </w:rPr>
                      </w:pPr>
                      <w:r>
                        <w:rPr>
                          <w:rFonts w:cs="Arial"/>
                          <w:b/>
                          <w:bCs/>
                          <w:sz w:val="52"/>
                          <w:szCs w:val="52"/>
                        </w:rPr>
                        <w:t>Medium Term Financial Strategy &amp; Reserves – Quarter 1 202</w:t>
                      </w:r>
                      <w:r w:rsidR="003A755A">
                        <w:rPr>
                          <w:rFonts w:cs="Arial"/>
                          <w:b/>
                          <w:bCs/>
                          <w:sz w:val="52"/>
                          <w:szCs w:val="52"/>
                        </w:rPr>
                        <w:t>2</w:t>
                      </w:r>
                      <w:r>
                        <w:rPr>
                          <w:rFonts w:cs="Arial"/>
                          <w:b/>
                          <w:bCs/>
                          <w:sz w:val="52"/>
                          <w:szCs w:val="52"/>
                        </w:rPr>
                        <w:t>/2</w:t>
                      </w:r>
                      <w:r w:rsidR="003A755A">
                        <w:rPr>
                          <w:rFonts w:cs="Arial"/>
                          <w:b/>
                          <w:bCs/>
                          <w:sz w:val="52"/>
                          <w:szCs w:val="52"/>
                        </w:rPr>
                        <w:t>3</w:t>
                      </w:r>
                    </w:p>
                    <w:p w14:paraId="3D2FEB96" w14:textId="77777777" w:rsidR="00AA77EB" w:rsidRPr="0037393E" w:rsidRDefault="00AA77EB" w:rsidP="0046463C">
                      <w:pPr>
                        <w:spacing w:after="0"/>
                        <w:ind w:right="-46"/>
                        <w:jc w:val="left"/>
                        <w:rPr>
                          <w:rFonts w:cs="Arial"/>
                          <w:b/>
                          <w:bCs/>
                          <w:sz w:val="52"/>
                          <w:szCs w:val="52"/>
                        </w:rPr>
                      </w:pPr>
                    </w:p>
                  </w:txbxContent>
                </v:textbox>
              </v:shape>
            </w:pict>
          </mc:Fallback>
        </mc:AlternateContent>
      </w:r>
    </w:p>
    <w:tbl>
      <w:tblPr>
        <w:tblStyle w:val="TableGrid11"/>
        <w:tblW w:w="0" w:type="auto"/>
        <w:tblLook w:val="04A0" w:firstRow="1" w:lastRow="0" w:firstColumn="1" w:lastColumn="0" w:noHBand="0" w:noVBand="1"/>
      </w:tblPr>
      <w:tblGrid>
        <w:gridCol w:w="562"/>
        <w:gridCol w:w="5437"/>
        <w:gridCol w:w="3017"/>
      </w:tblGrid>
      <w:tr w:rsidR="006C72FB" w14:paraId="7CDC7D35" w14:textId="77777777" w:rsidTr="0046463C">
        <w:trPr>
          <w:trHeight w:val="699"/>
        </w:trPr>
        <w:tc>
          <w:tcPr>
            <w:tcW w:w="562" w:type="dxa"/>
            <w:vAlign w:val="center"/>
          </w:tcPr>
          <w:p w14:paraId="42E4A1A1" w14:textId="77777777" w:rsidR="0046463C" w:rsidRPr="00AA73F8" w:rsidRDefault="0046463C" w:rsidP="0046463C">
            <w:pPr>
              <w:spacing w:after="0"/>
              <w:ind w:right="-46"/>
              <w:jc w:val="center"/>
              <w:rPr>
                <w:rFonts w:cs="Arial"/>
                <w:b/>
                <w:bCs/>
              </w:rPr>
            </w:pPr>
          </w:p>
        </w:tc>
        <w:tc>
          <w:tcPr>
            <w:tcW w:w="5437" w:type="dxa"/>
            <w:vAlign w:val="center"/>
          </w:tcPr>
          <w:p w14:paraId="58196B6A" w14:textId="77777777" w:rsidR="0046463C" w:rsidRPr="00AA73F8" w:rsidRDefault="00A854D0" w:rsidP="0046463C">
            <w:pPr>
              <w:spacing w:after="0"/>
              <w:ind w:right="-46"/>
              <w:jc w:val="center"/>
              <w:rPr>
                <w:rFonts w:cs="Arial"/>
                <w:b/>
                <w:bCs/>
              </w:rPr>
            </w:pPr>
            <w:r w:rsidRPr="00AA73F8">
              <w:rPr>
                <w:rFonts w:cs="Arial"/>
                <w:b/>
                <w:bCs/>
              </w:rPr>
              <w:t>Contents</w:t>
            </w:r>
          </w:p>
        </w:tc>
        <w:tc>
          <w:tcPr>
            <w:tcW w:w="3017" w:type="dxa"/>
            <w:shd w:val="clear" w:color="auto" w:fill="auto"/>
            <w:vAlign w:val="center"/>
          </w:tcPr>
          <w:p w14:paraId="623A97C0" w14:textId="77777777" w:rsidR="0046463C" w:rsidRPr="00AA73F8" w:rsidRDefault="00A854D0" w:rsidP="0046463C">
            <w:pPr>
              <w:spacing w:after="0"/>
              <w:ind w:right="-46"/>
              <w:jc w:val="center"/>
              <w:rPr>
                <w:rFonts w:cs="Arial"/>
                <w:b/>
                <w:bCs/>
              </w:rPr>
            </w:pPr>
            <w:r w:rsidRPr="00AA73F8">
              <w:rPr>
                <w:rFonts w:cs="Arial"/>
                <w:b/>
                <w:bCs/>
              </w:rPr>
              <w:t>Page</w:t>
            </w:r>
          </w:p>
        </w:tc>
      </w:tr>
      <w:tr w:rsidR="006C72FB" w14:paraId="5FDFCDC4" w14:textId="77777777" w:rsidTr="0046463C">
        <w:tc>
          <w:tcPr>
            <w:tcW w:w="562" w:type="dxa"/>
            <w:vAlign w:val="center"/>
          </w:tcPr>
          <w:p w14:paraId="31BC6001" w14:textId="77777777" w:rsidR="0046463C" w:rsidRPr="00AA73F8" w:rsidRDefault="00A854D0" w:rsidP="0046463C">
            <w:pPr>
              <w:spacing w:after="0"/>
              <w:ind w:right="-46"/>
              <w:jc w:val="center"/>
              <w:rPr>
                <w:rFonts w:cs="Arial"/>
                <w:b/>
                <w:bCs/>
              </w:rPr>
            </w:pPr>
            <w:r w:rsidRPr="00AA73F8">
              <w:rPr>
                <w:rFonts w:cs="Arial"/>
                <w:b/>
                <w:bCs/>
              </w:rPr>
              <w:t>1</w:t>
            </w:r>
          </w:p>
        </w:tc>
        <w:tc>
          <w:tcPr>
            <w:tcW w:w="5437" w:type="dxa"/>
            <w:vAlign w:val="center"/>
          </w:tcPr>
          <w:p w14:paraId="22BBC2AF" w14:textId="77777777" w:rsidR="0046463C" w:rsidRPr="00AA73F8" w:rsidRDefault="0046463C" w:rsidP="0046463C">
            <w:pPr>
              <w:spacing w:after="0"/>
              <w:ind w:right="-46"/>
              <w:rPr>
                <w:rFonts w:cs="Arial"/>
                <w:b/>
                <w:bCs/>
              </w:rPr>
            </w:pPr>
          </w:p>
          <w:p w14:paraId="18286F85" w14:textId="77777777" w:rsidR="0046463C" w:rsidRPr="00AA73F8" w:rsidRDefault="00A854D0" w:rsidP="0046463C">
            <w:pPr>
              <w:spacing w:after="0"/>
              <w:ind w:right="-46"/>
              <w:rPr>
                <w:rFonts w:cs="Arial"/>
                <w:b/>
                <w:bCs/>
              </w:rPr>
            </w:pPr>
            <w:r w:rsidRPr="00AA73F8">
              <w:rPr>
                <w:rFonts w:cs="Arial"/>
                <w:b/>
                <w:bCs/>
              </w:rPr>
              <w:t>Executive Summary</w:t>
            </w:r>
          </w:p>
          <w:p w14:paraId="624B00C7" w14:textId="77777777" w:rsidR="0046463C" w:rsidRPr="00AA73F8" w:rsidRDefault="0046463C" w:rsidP="0046463C">
            <w:pPr>
              <w:spacing w:after="0"/>
              <w:ind w:right="-46"/>
              <w:rPr>
                <w:rFonts w:cs="Arial"/>
                <w:b/>
                <w:bCs/>
              </w:rPr>
            </w:pPr>
          </w:p>
        </w:tc>
        <w:tc>
          <w:tcPr>
            <w:tcW w:w="3017" w:type="dxa"/>
            <w:vAlign w:val="center"/>
          </w:tcPr>
          <w:p w14:paraId="7269CCB9" w14:textId="5D124217" w:rsidR="0046463C" w:rsidRPr="00AA73F8" w:rsidRDefault="00A854D0" w:rsidP="0046463C">
            <w:pPr>
              <w:spacing w:after="0"/>
              <w:ind w:right="-46"/>
              <w:jc w:val="center"/>
              <w:rPr>
                <w:rFonts w:cs="Arial"/>
                <w:b/>
                <w:bCs/>
              </w:rPr>
            </w:pPr>
            <w:r>
              <w:rPr>
                <w:rFonts w:cs="Arial"/>
                <w:b/>
                <w:bCs/>
              </w:rPr>
              <w:t>3</w:t>
            </w:r>
          </w:p>
        </w:tc>
      </w:tr>
      <w:tr w:rsidR="006C72FB" w14:paraId="2FC2E2A7" w14:textId="77777777" w:rsidTr="0046463C">
        <w:tc>
          <w:tcPr>
            <w:tcW w:w="562" w:type="dxa"/>
            <w:vAlign w:val="center"/>
          </w:tcPr>
          <w:p w14:paraId="27E5BC16" w14:textId="77777777" w:rsidR="0046463C" w:rsidRPr="00AA73F8" w:rsidRDefault="00A854D0" w:rsidP="0046463C">
            <w:pPr>
              <w:spacing w:after="0"/>
              <w:ind w:right="-46"/>
              <w:jc w:val="center"/>
              <w:rPr>
                <w:rFonts w:cs="Arial"/>
                <w:b/>
                <w:bCs/>
              </w:rPr>
            </w:pPr>
            <w:r w:rsidRPr="00AA73F8">
              <w:rPr>
                <w:rFonts w:cs="Arial"/>
                <w:b/>
                <w:bCs/>
              </w:rPr>
              <w:t>2</w:t>
            </w:r>
          </w:p>
        </w:tc>
        <w:tc>
          <w:tcPr>
            <w:tcW w:w="5437" w:type="dxa"/>
            <w:vAlign w:val="center"/>
          </w:tcPr>
          <w:p w14:paraId="336D5057" w14:textId="77777777" w:rsidR="0046463C" w:rsidRPr="00AA73F8" w:rsidRDefault="0046463C" w:rsidP="0046463C">
            <w:pPr>
              <w:spacing w:after="0"/>
              <w:ind w:right="-46"/>
              <w:rPr>
                <w:rFonts w:cs="Arial"/>
                <w:b/>
                <w:bCs/>
              </w:rPr>
            </w:pPr>
          </w:p>
          <w:p w14:paraId="03AFE3DD" w14:textId="77777777" w:rsidR="0046463C" w:rsidRPr="00AA73F8" w:rsidRDefault="00A854D0" w:rsidP="0046463C">
            <w:pPr>
              <w:spacing w:after="0"/>
              <w:ind w:right="-46"/>
              <w:rPr>
                <w:rFonts w:cs="Arial"/>
                <w:b/>
                <w:bCs/>
              </w:rPr>
            </w:pPr>
            <w:r w:rsidRPr="00AA73F8">
              <w:rPr>
                <w:rFonts w:cs="Arial"/>
                <w:b/>
                <w:bCs/>
              </w:rPr>
              <w:t>Funding</w:t>
            </w:r>
          </w:p>
          <w:p w14:paraId="0DC548FD" w14:textId="77777777" w:rsidR="0046463C" w:rsidRPr="00AA73F8" w:rsidRDefault="0046463C" w:rsidP="0046463C">
            <w:pPr>
              <w:spacing w:after="0"/>
              <w:ind w:right="-46"/>
              <w:rPr>
                <w:rFonts w:cs="Arial"/>
                <w:b/>
                <w:bCs/>
              </w:rPr>
            </w:pPr>
          </w:p>
        </w:tc>
        <w:tc>
          <w:tcPr>
            <w:tcW w:w="3017" w:type="dxa"/>
            <w:vAlign w:val="center"/>
          </w:tcPr>
          <w:p w14:paraId="648DD21F" w14:textId="0CAC300C" w:rsidR="0046463C" w:rsidRPr="00AA73F8" w:rsidRDefault="00A854D0" w:rsidP="0046463C">
            <w:pPr>
              <w:spacing w:after="0"/>
              <w:ind w:right="-46"/>
              <w:jc w:val="center"/>
              <w:rPr>
                <w:rFonts w:cs="Arial"/>
                <w:b/>
                <w:bCs/>
              </w:rPr>
            </w:pPr>
            <w:r>
              <w:rPr>
                <w:rFonts w:cs="Arial"/>
                <w:b/>
                <w:bCs/>
              </w:rPr>
              <w:t>5</w:t>
            </w:r>
          </w:p>
        </w:tc>
      </w:tr>
      <w:tr w:rsidR="006C72FB" w14:paraId="3E63C088" w14:textId="77777777" w:rsidTr="0046463C">
        <w:tc>
          <w:tcPr>
            <w:tcW w:w="562" w:type="dxa"/>
            <w:vAlign w:val="center"/>
          </w:tcPr>
          <w:p w14:paraId="627DF004" w14:textId="77777777" w:rsidR="0046463C" w:rsidRPr="00AA73F8" w:rsidRDefault="00A854D0" w:rsidP="0046463C">
            <w:pPr>
              <w:spacing w:after="0"/>
              <w:ind w:right="-46"/>
              <w:jc w:val="center"/>
              <w:rPr>
                <w:rFonts w:cs="Arial"/>
                <w:b/>
                <w:bCs/>
              </w:rPr>
            </w:pPr>
            <w:r w:rsidRPr="00AA73F8">
              <w:rPr>
                <w:rFonts w:cs="Arial"/>
                <w:b/>
                <w:bCs/>
              </w:rPr>
              <w:t>3</w:t>
            </w:r>
          </w:p>
        </w:tc>
        <w:tc>
          <w:tcPr>
            <w:tcW w:w="5437" w:type="dxa"/>
            <w:vAlign w:val="center"/>
          </w:tcPr>
          <w:p w14:paraId="146DB102" w14:textId="77777777" w:rsidR="0046463C" w:rsidRPr="00AA73F8" w:rsidRDefault="0046463C" w:rsidP="0046463C">
            <w:pPr>
              <w:spacing w:after="0"/>
              <w:ind w:right="-46"/>
              <w:rPr>
                <w:rFonts w:cs="Arial"/>
                <w:b/>
                <w:bCs/>
              </w:rPr>
            </w:pPr>
          </w:p>
          <w:p w14:paraId="4F2C4E40" w14:textId="77777777" w:rsidR="0046463C" w:rsidRPr="00AA73F8" w:rsidRDefault="00A854D0" w:rsidP="0046463C">
            <w:pPr>
              <w:spacing w:after="0"/>
              <w:ind w:right="-46"/>
              <w:rPr>
                <w:rFonts w:cs="Arial"/>
                <w:b/>
                <w:bCs/>
              </w:rPr>
            </w:pPr>
            <w:r w:rsidRPr="00AA73F8">
              <w:rPr>
                <w:rFonts w:cs="Arial"/>
                <w:b/>
                <w:bCs/>
              </w:rPr>
              <w:t xml:space="preserve">Net Budget Requirement </w:t>
            </w:r>
          </w:p>
          <w:p w14:paraId="71C2D3C0" w14:textId="77777777" w:rsidR="0046463C" w:rsidRPr="00AA73F8" w:rsidRDefault="0046463C" w:rsidP="0046463C">
            <w:pPr>
              <w:spacing w:after="0"/>
              <w:ind w:right="-46"/>
              <w:rPr>
                <w:rFonts w:cs="Arial"/>
                <w:b/>
                <w:bCs/>
              </w:rPr>
            </w:pPr>
          </w:p>
        </w:tc>
        <w:tc>
          <w:tcPr>
            <w:tcW w:w="3017" w:type="dxa"/>
            <w:vAlign w:val="center"/>
          </w:tcPr>
          <w:p w14:paraId="5A42592C" w14:textId="3F426E2D" w:rsidR="0046463C" w:rsidRPr="00AA73F8" w:rsidRDefault="00A854D0" w:rsidP="0046463C">
            <w:pPr>
              <w:spacing w:after="0"/>
              <w:ind w:right="-46"/>
              <w:jc w:val="center"/>
              <w:rPr>
                <w:rFonts w:cs="Arial"/>
                <w:b/>
                <w:bCs/>
              </w:rPr>
            </w:pPr>
            <w:r>
              <w:rPr>
                <w:rFonts w:cs="Arial"/>
                <w:b/>
                <w:bCs/>
              </w:rPr>
              <w:t>7</w:t>
            </w:r>
          </w:p>
        </w:tc>
      </w:tr>
      <w:tr w:rsidR="006C72FB" w14:paraId="61ECD5E0" w14:textId="77777777" w:rsidTr="0046463C">
        <w:tc>
          <w:tcPr>
            <w:tcW w:w="562" w:type="dxa"/>
            <w:vAlign w:val="center"/>
          </w:tcPr>
          <w:p w14:paraId="13DDE931" w14:textId="77777777" w:rsidR="0046463C" w:rsidRPr="00AA73F8" w:rsidRDefault="00A854D0" w:rsidP="0046463C">
            <w:pPr>
              <w:spacing w:after="0"/>
              <w:ind w:right="-46"/>
              <w:jc w:val="center"/>
              <w:rPr>
                <w:rFonts w:cs="Arial"/>
                <w:b/>
                <w:bCs/>
              </w:rPr>
            </w:pPr>
            <w:r w:rsidRPr="00AA73F8">
              <w:rPr>
                <w:rFonts w:cs="Arial"/>
                <w:b/>
                <w:bCs/>
              </w:rPr>
              <w:t>4</w:t>
            </w:r>
          </w:p>
        </w:tc>
        <w:tc>
          <w:tcPr>
            <w:tcW w:w="5437" w:type="dxa"/>
            <w:vAlign w:val="center"/>
          </w:tcPr>
          <w:p w14:paraId="4347B0BA" w14:textId="77777777" w:rsidR="0046463C" w:rsidRPr="00AA73F8" w:rsidRDefault="0046463C" w:rsidP="0046463C">
            <w:pPr>
              <w:spacing w:after="0"/>
              <w:ind w:right="-46"/>
              <w:rPr>
                <w:rFonts w:cs="Arial"/>
                <w:b/>
                <w:bCs/>
              </w:rPr>
            </w:pPr>
          </w:p>
          <w:p w14:paraId="3053A4B1" w14:textId="77777777" w:rsidR="0046463C" w:rsidRPr="00AA73F8" w:rsidRDefault="00A854D0" w:rsidP="0046463C">
            <w:pPr>
              <w:spacing w:after="0"/>
              <w:ind w:right="-46"/>
              <w:rPr>
                <w:rFonts w:cs="Arial"/>
                <w:b/>
                <w:bCs/>
              </w:rPr>
            </w:pPr>
            <w:r w:rsidRPr="00AA73F8">
              <w:rPr>
                <w:rFonts w:cs="Arial"/>
                <w:b/>
                <w:bCs/>
              </w:rPr>
              <w:t>Reserves</w:t>
            </w:r>
          </w:p>
          <w:p w14:paraId="13E1DAF8" w14:textId="77777777" w:rsidR="0046463C" w:rsidRPr="00AA73F8" w:rsidRDefault="0046463C" w:rsidP="0046463C">
            <w:pPr>
              <w:spacing w:after="0"/>
              <w:ind w:right="-46"/>
              <w:rPr>
                <w:rFonts w:cs="Arial"/>
                <w:b/>
                <w:bCs/>
              </w:rPr>
            </w:pPr>
          </w:p>
        </w:tc>
        <w:tc>
          <w:tcPr>
            <w:tcW w:w="3017" w:type="dxa"/>
            <w:vAlign w:val="center"/>
          </w:tcPr>
          <w:p w14:paraId="5A9A0634" w14:textId="7FFFEC7E" w:rsidR="0046463C" w:rsidRPr="00AA73F8" w:rsidRDefault="00A854D0" w:rsidP="0046463C">
            <w:pPr>
              <w:spacing w:after="0"/>
              <w:ind w:right="-46"/>
              <w:jc w:val="center"/>
              <w:rPr>
                <w:rFonts w:cs="Arial"/>
                <w:b/>
                <w:bCs/>
              </w:rPr>
            </w:pPr>
            <w:r>
              <w:rPr>
                <w:rFonts w:cs="Arial"/>
                <w:b/>
                <w:bCs/>
              </w:rPr>
              <w:t>1</w:t>
            </w:r>
            <w:r w:rsidR="009A0B5A">
              <w:rPr>
                <w:rFonts w:cs="Arial"/>
                <w:b/>
                <w:bCs/>
              </w:rPr>
              <w:t>1</w:t>
            </w:r>
          </w:p>
        </w:tc>
      </w:tr>
      <w:tr w:rsidR="006C72FB" w14:paraId="57BA12FE" w14:textId="77777777" w:rsidTr="0046463C">
        <w:tc>
          <w:tcPr>
            <w:tcW w:w="562" w:type="dxa"/>
            <w:vAlign w:val="center"/>
          </w:tcPr>
          <w:p w14:paraId="55D5DC2C" w14:textId="77777777" w:rsidR="0046463C" w:rsidRPr="00AA73F8" w:rsidRDefault="0046463C" w:rsidP="0046463C">
            <w:pPr>
              <w:spacing w:after="0"/>
              <w:ind w:right="-46"/>
              <w:jc w:val="center"/>
              <w:rPr>
                <w:rFonts w:cs="Arial"/>
                <w:b/>
                <w:bCs/>
              </w:rPr>
            </w:pPr>
          </w:p>
          <w:p w14:paraId="086C701C" w14:textId="77777777" w:rsidR="0046463C" w:rsidRPr="00AA73F8" w:rsidRDefault="00A854D0" w:rsidP="0046463C">
            <w:pPr>
              <w:spacing w:after="0"/>
              <w:ind w:right="-46"/>
              <w:jc w:val="center"/>
              <w:rPr>
                <w:rFonts w:cs="Arial"/>
                <w:b/>
                <w:bCs/>
              </w:rPr>
            </w:pPr>
            <w:r w:rsidRPr="00AA73F8">
              <w:rPr>
                <w:rFonts w:cs="Arial"/>
                <w:b/>
                <w:bCs/>
              </w:rPr>
              <w:t>5</w:t>
            </w:r>
          </w:p>
          <w:p w14:paraId="431599C5" w14:textId="77777777" w:rsidR="0046463C" w:rsidRPr="00AA73F8" w:rsidRDefault="0046463C" w:rsidP="0046463C">
            <w:pPr>
              <w:spacing w:after="0"/>
              <w:ind w:right="-46"/>
              <w:jc w:val="center"/>
              <w:rPr>
                <w:rFonts w:cs="Arial"/>
                <w:b/>
                <w:bCs/>
              </w:rPr>
            </w:pPr>
          </w:p>
        </w:tc>
        <w:tc>
          <w:tcPr>
            <w:tcW w:w="5437" w:type="dxa"/>
            <w:vAlign w:val="center"/>
          </w:tcPr>
          <w:p w14:paraId="2EB8EBDD" w14:textId="77777777" w:rsidR="0046463C" w:rsidRPr="00AA73F8" w:rsidRDefault="00A854D0" w:rsidP="0046463C">
            <w:pPr>
              <w:spacing w:after="0"/>
              <w:ind w:right="-46"/>
              <w:rPr>
                <w:rFonts w:cs="Arial"/>
                <w:b/>
                <w:bCs/>
              </w:rPr>
            </w:pPr>
            <w:r w:rsidRPr="00AA73F8">
              <w:rPr>
                <w:rFonts w:cs="Arial"/>
                <w:b/>
                <w:bCs/>
              </w:rPr>
              <w:t>Future Risks and Opportunities</w:t>
            </w:r>
          </w:p>
        </w:tc>
        <w:tc>
          <w:tcPr>
            <w:tcW w:w="3017" w:type="dxa"/>
            <w:vAlign w:val="center"/>
          </w:tcPr>
          <w:p w14:paraId="073D5A33" w14:textId="21A4FEAC" w:rsidR="0046463C" w:rsidRPr="00AA73F8" w:rsidRDefault="00A854D0" w:rsidP="0046463C">
            <w:pPr>
              <w:spacing w:after="0"/>
              <w:ind w:right="-46"/>
              <w:jc w:val="center"/>
              <w:rPr>
                <w:rFonts w:cs="Arial"/>
                <w:b/>
                <w:bCs/>
              </w:rPr>
            </w:pPr>
            <w:r>
              <w:rPr>
                <w:rFonts w:cs="Arial"/>
                <w:b/>
                <w:bCs/>
              </w:rPr>
              <w:t>1</w:t>
            </w:r>
            <w:r w:rsidR="00E40902">
              <w:rPr>
                <w:rFonts w:cs="Arial"/>
                <w:b/>
                <w:bCs/>
              </w:rPr>
              <w:t>2</w:t>
            </w:r>
          </w:p>
        </w:tc>
      </w:tr>
    </w:tbl>
    <w:p w14:paraId="18778A85" w14:textId="77777777" w:rsidR="0046463C" w:rsidRPr="003C571E" w:rsidRDefault="0046463C" w:rsidP="0046463C">
      <w:pPr>
        <w:spacing w:after="0"/>
        <w:ind w:right="-46"/>
        <w:rPr>
          <w:rFonts w:cs="Arial"/>
          <w:b/>
          <w:bCs/>
          <w:highlight w:val="yellow"/>
        </w:rPr>
      </w:pPr>
    </w:p>
    <w:p w14:paraId="3D09C78A" w14:textId="77777777" w:rsidR="0046463C" w:rsidRPr="003C571E" w:rsidRDefault="00A854D0" w:rsidP="0046463C">
      <w:pPr>
        <w:autoSpaceDE/>
        <w:autoSpaceDN/>
        <w:adjustRightInd/>
        <w:spacing w:after="0"/>
        <w:jc w:val="left"/>
        <w:rPr>
          <w:rFonts w:cs="Arial"/>
          <w:b/>
          <w:highlight w:val="yellow"/>
        </w:rPr>
      </w:pPr>
      <w:r w:rsidRPr="003C571E">
        <w:rPr>
          <w:rFonts w:cs="Arial"/>
          <w:b/>
          <w:highlight w:val="yellow"/>
        </w:rPr>
        <w:br w:type="page"/>
      </w:r>
    </w:p>
    <w:p w14:paraId="3B38CDF4" w14:textId="77777777" w:rsidR="0046463C" w:rsidRPr="00BE7B1A" w:rsidRDefault="00A854D0" w:rsidP="0046463C">
      <w:pPr>
        <w:numPr>
          <w:ilvl w:val="0"/>
          <w:numId w:val="25"/>
        </w:numPr>
        <w:spacing w:after="0"/>
        <w:ind w:left="567" w:hanging="567"/>
        <w:contextualSpacing/>
        <w:rPr>
          <w:rFonts w:cs="Arial"/>
          <w:b/>
        </w:rPr>
      </w:pPr>
      <w:r w:rsidRPr="00BE7B1A">
        <w:rPr>
          <w:rFonts w:cs="Arial"/>
          <w:b/>
        </w:rPr>
        <w:lastRenderedPageBreak/>
        <w:t>Executive summary</w:t>
      </w:r>
    </w:p>
    <w:p w14:paraId="0D41D4CC" w14:textId="77777777" w:rsidR="0046463C" w:rsidRPr="00BE7B1A" w:rsidRDefault="0046463C" w:rsidP="0046463C">
      <w:pPr>
        <w:spacing w:after="0"/>
        <w:ind w:left="567"/>
        <w:contextualSpacing/>
        <w:rPr>
          <w:rFonts w:cs="Arial"/>
          <w:b/>
        </w:rPr>
      </w:pPr>
    </w:p>
    <w:p w14:paraId="318D50B4" w14:textId="0DFA6385" w:rsidR="0046463C" w:rsidRPr="003C571E" w:rsidRDefault="00A854D0" w:rsidP="0046463C">
      <w:pPr>
        <w:tabs>
          <w:tab w:val="left" w:pos="567"/>
          <w:tab w:val="left" w:pos="1134"/>
        </w:tabs>
        <w:spacing w:after="0"/>
        <w:rPr>
          <w:rFonts w:cs="Arial"/>
          <w:highlight w:val="yellow"/>
        </w:rPr>
      </w:pPr>
      <w:r w:rsidRPr="69478C61">
        <w:rPr>
          <w:rFonts w:cs="Arial"/>
        </w:rPr>
        <w:t xml:space="preserve">At </w:t>
      </w:r>
      <w:r w:rsidR="00BE7B1A" w:rsidRPr="69478C61">
        <w:rPr>
          <w:rFonts w:cs="Arial"/>
        </w:rPr>
        <w:t xml:space="preserve">Full Council </w:t>
      </w:r>
      <w:r w:rsidRPr="69478C61">
        <w:rPr>
          <w:rFonts w:cs="Arial"/>
        </w:rPr>
        <w:t xml:space="preserve">in </w:t>
      </w:r>
      <w:r w:rsidR="00BE7B1A" w:rsidRPr="69478C61">
        <w:rPr>
          <w:rFonts w:cs="Arial"/>
        </w:rPr>
        <w:t>February</w:t>
      </w:r>
      <w:r w:rsidRPr="69478C61">
        <w:rPr>
          <w:rFonts w:cs="Arial"/>
        </w:rPr>
        <w:t xml:space="preserve"> 202</w:t>
      </w:r>
      <w:r w:rsidR="003A755A" w:rsidRPr="69478C61">
        <w:rPr>
          <w:rFonts w:cs="Arial"/>
        </w:rPr>
        <w:t>2</w:t>
      </w:r>
      <w:r w:rsidRPr="69478C61">
        <w:rPr>
          <w:rFonts w:cs="Arial"/>
        </w:rPr>
        <w:t xml:space="preserve"> the updated medium term financial strategy (MTFS) set out a forecast a</w:t>
      </w:r>
      <w:r w:rsidR="00FE6E2C" w:rsidRPr="69478C61">
        <w:rPr>
          <w:rFonts w:cs="Arial"/>
        </w:rPr>
        <w:t>ggregated funding gap of £30.548</w:t>
      </w:r>
      <w:r w:rsidRPr="69478C61">
        <w:rPr>
          <w:rFonts w:cs="Arial"/>
        </w:rPr>
        <w:t>m in 202</w:t>
      </w:r>
      <w:r w:rsidR="003A755A" w:rsidRPr="69478C61">
        <w:rPr>
          <w:rFonts w:cs="Arial"/>
        </w:rPr>
        <w:t>3</w:t>
      </w:r>
      <w:r w:rsidRPr="69478C61">
        <w:rPr>
          <w:rFonts w:cs="Arial"/>
        </w:rPr>
        <w:t>/2</w:t>
      </w:r>
      <w:r w:rsidR="003A755A" w:rsidRPr="69478C61">
        <w:rPr>
          <w:rFonts w:cs="Arial"/>
        </w:rPr>
        <w:t>4</w:t>
      </w:r>
      <w:r w:rsidRPr="69478C61">
        <w:rPr>
          <w:rFonts w:cs="Arial"/>
        </w:rPr>
        <w:t xml:space="preserve"> and £41.349m by the end of the </w:t>
      </w:r>
      <w:r w:rsidR="00704A50">
        <w:rPr>
          <w:rFonts w:cs="Arial"/>
        </w:rPr>
        <w:t>3</w:t>
      </w:r>
      <w:r w:rsidRPr="175EC9AE">
        <w:rPr>
          <w:rFonts w:cs="Arial"/>
        </w:rPr>
        <w:t>-</w:t>
      </w:r>
      <w:r w:rsidR="00704A50">
        <w:rPr>
          <w:rFonts w:cs="Arial"/>
        </w:rPr>
        <w:t xml:space="preserve">year </w:t>
      </w:r>
      <w:r w:rsidRPr="69478C61">
        <w:rPr>
          <w:rFonts w:cs="Arial"/>
        </w:rPr>
        <w:t>period (202</w:t>
      </w:r>
      <w:r w:rsidR="00DF1034">
        <w:rPr>
          <w:rFonts w:cs="Arial"/>
        </w:rPr>
        <w:t>2</w:t>
      </w:r>
      <w:r w:rsidRPr="69478C61">
        <w:rPr>
          <w:rFonts w:cs="Arial"/>
        </w:rPr>
        <w:t>/2</w:t>
      </w:r>
      <w:r w:rsidR="00DF1034">
        <w:rPr>
          <w:rFonts w:cs="Arial"/>
        </w:rPr>
        <w:t>3</w:t>
      </w:r>
      <w:r w:rsidRPr="69478C61">
        <w:rPr>
          <w:rFonts w:cs="Arial"/>
        </w:rPr>
        <w:t xml:space="preserve"> – </w:t>
      </w:r>
      <w:r w:rsidR="008D6052" w:rsidRPr="5564F995">
        <w:rPr>
          <w:rFonts w:cs="Arial"/>
        </w:rPr>
        <w:t>2024</w:t>
      </w:r>
      <w:r w:rsidR="008D6052">
        <w:rPr>
          <w:rFonts w:cs="Arial"/>
        </w:rPr>
        <w:t>/25</w:t>
      </w:r>
      <w:r w:rsidRPr="69478C61">
        <w:rPr>
          <w:rFonts w:cs="Arial"/>
        </w:rPr>
        <w:t>). This reflected the ongoing and unprecedented uncertainty in relation to future local government funding and the financial impact of the C</w:t>
      </w:r>
      <w:r w:rsidR="00A07C9B">
        <w:rPr>
          <w:rFonts w:cs="Arial"/>
        </w:rPr>
        <w:t>OVID</w:t>
      </w:r>
      <w:r w:rsidRPr="69478C61">
        <w:rPr>
          <w:rFonts w:cs="Arial"/>
        </w:rPr>
        <w:t xml:space="preserve">-19 emergency. </w:t>
      </w:r>
    </w:p>
    <w:p w14:paraId="155DE4E2" w14:textId="77777777" w:rsidR="0046463C" w:rsidRPr="003C571E" w:rsidRDefault="0046463C" w:rsidP="0046463C">
      <w:pPr>
        <w:tabs>
          <w:tab w:val="left" w:pos="567"/>
          <w:tab w:val="left" w:pos="1134"/>
        </w:tabs>
        <w:spacing w:after="0"/>
        <w:rPr>
          <w:rFonts w:cs="Arial"/>
          <w:highlight w:val="yellow"/>
        </w:rPr>
      </w:pPr>
    </w:p>
    <w:p w14:paraId="4E225D42" w14:textId="1CD754D5" w:rsidR="0046463C" w:rsidRPr="003A755A" w:rsidRDefault="00A854D0" w:rsidP="39343541">
      <w:pPr>
        <w:tabs>
          <w:tab w:val="left" w:pos="567"/>
          <w:tab w:val="left" w:pos="1134"/>
        </w:tabs>
        <w:spacing w:after="0"/>
        <w:rPr>
          <w:rFonts w:cs="Arial"/>
          <w:color w:val="0B0C0C"/>
          <w:shd w:val="clear" w:color="auto" w:fill="FFFFFF"/>
        </w:rPr>
      </w:pPr>
      <w:r w:rsidRPr="39343541">
        <w:rPr>
          <w:rFonts w:cs="Arial"/>
        </w:rPr>
        <w:t xml:space="preserve">Whilst a multi-year Spending Review was again expected, the </w:t>
      </w:r>
      <w:r w:rsidRPr="39343541">
        <w:rPr>
          <w:rFonts w:cs="Arial"/>
          <w:color w:val="0B0C0C"/>
          <w:shd w:val="clear" w:color="auto" w:fill="FFFFFF"/>
        </w:rPr>
        <w:t>Chancellor and the Prime Minister opted to conduct a one-year Spending Review, setting department’s resource and capital budgets for 2022/23 only</w:t>
      </w:r>
      <w:r w:rsidR="00A07C9B">
        <w:rPr>
          <w:rFonts w:cs="Arial"/>
          <w:color w:val="0B0C0C"/>
          <w:shd w:val="clear" w:color="auto" w:fill="FFFFFF"/>
        </w:rPr>
        <w:t>,</w:t>
      </w:r>
      <w:r w:rsidRPr="39343541">
        <w:rPr>
          <w:rFonts w:cs="Arial"/>
          <w:color w:val="0B0C0C"/>
          <w:shd w:val="clear" w:color="auto" w:fill="FFFFFF"/>
        </w:rPr>
        <w:t xml:space="preserve"> </w:t>
      </w:r>
      <w:bookmarkStart w:id="0" w:name="_Int_ppgTXE3p"/>
      <w:r w:rsidRPr="39343541">
        <w:rPr>
          <w:rFonts w:cs="Arial"/>
          <w:color w:val="0B0C0C"/>
          <w:shd w:val="clear" w:color="auto" w:fill="FFFFFF"/>
        </w:rPr>
        <w:t>in order to</w:t>
      </w:r>
      <w:bookmarkEnd w:id="0"/>
      <w:r w:rsidRPr="39343541">
        <w:rPr>
          <w:rFonts w:cs="Arial"/>
          <w:color w:val="0B0C0C"/>
          <w:shd w:val="clear" w:color="auto" w:fill="FFFFFF"/>
        </w:rPr>
        <w:t xml:space="preserve"> prioritise the response to C</w:t>
      </w:r>
      <w:r w:rsidR="00EE2063">
        <w:rPr>
          <w:rFonts w:cs="Arial"/>
          <w:color w:val="0B0C0C"/>
          <w:shd w:val="clear" w:color="auto" w:fill="FFFFFF"/>
        </w:rPr>
        <w:t>OVID</w:t>
      </w:r>
      <w:r w:rsidRPr="39343541">
        <w:rPr>
          <w:rFonts w:cs="Arial"/>
          <w:color w:val="0B0C0C"/>
          <w:shd w:val="clear" w:color="auto" w:fill="FFFFFF"/>
        </w:rPr>
        <w:t xml:space="preserve">-19 and focus on supporting jobs and the economy. </w:t>
      </w:r>
      <w:r w:rsidR="000E6AC4">
        <w:rPr>
          <w:rFonts w:cs="Arial"/>
          <w:color w:val="0B0C0C"/>
          <w:shd w:val="clear" w:color="auto" w:fill="FFFFFF"/>
        </w:rPr>
        <w:t xml:space="preserve">Our current assumption based on previous announcements is that there will be a two-year finance settlement covering 2023/24 and 2024/25 which are likely to be rollover settlements with the same principles as in the current settlement and funding reform </w:t>
      </w:r>
      <w:r w:rsidR="00A07C9B">
        <w:rPr>
          <w:rFonts w:cs="Arial"/>
          <w:color w:val="0B0C0C"/>
          <w:shd w:val="clear" w:color="auto" w:fill="FFFFFF"/>
        </w:rPr>
        <w:t xml:space="preserve">is </w:t>
      </w:r>
      <w:r w:rsidR="000E6AC4">
        <w:rPr>
          <w:rFonts w:cs="Arial"/>
          <w:color w:val="0B0C0C"/>
          <w:shd w:val="clear" w:color="auto" w:fill="FFFFFF"/>
        </w:rPr>
        <w:t>not anticipated before 2025/26.  Funding</w:t>
      </w:r>
      <w:r w:rsidR="00BE7B1A" w:rsidRPr="39343541">
        <w:rPr>
          <w:rFonts w:cs="Arial"/>
          <w:color w:val="0B0C0C"/>
          <w:shd w:val="clear" w:color="auto" w:fill="FFFFFF"/>
        </w:rPr>
        <w:t xml:space="preserve"> assumptions </w:t>
      </w:r>
      <w:r w:rsidR="000E6AC4">
        <w:rPr>
          <w:rFonts w:cs="Arial"/>
          <w:color w:val="0B0C0C"/>
          <w:shd w:val="clear" w:color="auto" w:fill="FFFFFF"/>
        </w:rPr>
        <w:t>therefore</w:t>
      </w:r>
      <w:r w:rsidR="00BE7B1A" w:rsidRPr="39343541">
        <w:rPr>
          <w:rFonts w:cs="Arial"/>
          <w:color w:val="0B0C0C"/>
          <w:shd w:val="clear" w:color="auto" w:fill="FFFFFF"/>
        </w:rPr>
        <w:t xml:space="preserve"> </w:t>
      </w:r>
      <w:bookmarkStart w:id="1" w:name="_Int_QWl4LycQ"/>
      <w:r w:rsidR="00BE7B1A" w:rsidRPr="39343541">
        <w:rPr>
          <w:rFonts w:cs="Arial"/>
          <w:color w:val="0B0C0C"/>
          <w:shd w:val="clear" w:color="auto" w:fill="FFFFFF"/>
        </w:rPr>
        <w:t>generally reflect</w:t>
      </w:r>
      <w:bookmarkEnd w:id="1"/>
      <w:r w:rsidR="00BE7B1A" w:rsidRPr="794A4800">
        <w:rPr>
          <w:rFonts w:cs="Arial"/>
          <w:color w:val="0B0C0C"/>
        </w:rPr>
        <w:t xml:space="preserve"> a similar funding position </w:t>
      </w:r>
      <w:r w:rsidR="00035461">
        <w:rPr>
          <w:rFonts w:cs="Arial"/>
          <w:color w:val="0B0C0C"/>
        </w:rPr>
        <w:t xml:space="preserve">as </w:t>
      </w:r>
      <w:r w:rsidR="00035461" w:rsidRPr="794A4800">
        <w:rPr>
          <w:rFonts w:cs="Arial"/>
          <w:color w:val="0B0C0C"/>
        </w:rPr>
        <w:t>to</w:t>
      </w:r>
      <w:r w:rsidR="00BE7B1A" w:rsidRPr="794A4800">
        <w:rPr>
          <w:rFonts w:cs="Arial"/>
          <w:color w:val="0B0C0C"/>
        </w:rPr>
        <w:t xml:space="preserve"> 2022/23 </w:t>
      </w:r>
      <w:r w:rsidR="000E6AC4">
        <w:rPr>
          <w:rFonts w:cs="Arial"/>
          <w:color w:val="0B0C0C"/>
        </w:rPr>
        <w:t>in</w:t>
      </w:r>
      <w:r w:rsidR="00BE7B1A" w:rsidRPr="39343541">
        <w:rPr>
          <w:rFonts w:cs="Arial"/>
          <w:color w:val="0B0C0C"/>
          <w:shd w:val="clear" w:color="auto" w:fill="FFFFFF"/>
        </w:rPr>
        <w:t xml:space="preserve"> future years with any positive or negative impact of future funding models not yet reflected. </w:t>
      </w:r>
    </w:p>
    <w:p w14:paraId="771A10FB" w14:textId="77777777" w:rsidR="0046463C" w:rsidRPr="003A755A" w:rsidRDefault="0046463C" w:rsidP="0046463C">
      <w:pPr>
        <w:tabs>
          <w:tab w:val="left" w:pos="567"/>
          <w:tab w:val="left" w:pos="1134"/>
        </w:tabs>
        <w:spacing w:after="0"/>
        <w:rPr>
          <w:rFonts w:cs="Arial"/>
          <w:color w:val="0B0C0C"/>
          <w:highlight w:val="yellow"/>
          <w:shd w:val="clear" w:color="auto" w:fill="FFFFFF"/>
        </w:rPr>
      </w:pPr>
    </w:p>
    <w:p w14:paraId="29422802" w14:textId="4AF67022" w:rsidR="000D7E4B" w:rsidRDefault="00A854D0" w:rsidP="69478C61">
      <w:pPr>
        <w:tabs>
          <w:tab w:val="left" w:pos="567"/>
          <w:tab w:val="left" w:pos="1134"/>
        </w:tabs>
        <w:spacing w:after="0"/>
        <w:rPr>
          <w:rFonts w:cs="Arial"/>
        </w:rPr>
      </w:pPr>
      <w:r w:rsidRPr="0B86641D">
        <w:rPr>
          <w:rFonts w:cs="Arial"/>
        </w:rPr>
        <w:t xml:space="preserve">This report provides an updated position covering the </w:t>
      </w:r>
      <w:bookmarkStart w:id="2" w:name="_Int_Y6uj8rgD"/>
      <w:r w:rsidRPr="0B86641D">
        <w:rPr>
          <w:rFonts w:cs="Arial"/>
        </w:rPr>
        <w:t>financial years</w:t>
      </w:r>
      <w:bookmarkEnd w:id="2"/>
      <w:r w:rsidRPr="0B86641D">
        <w:rPr>
          <w:rFonts w:cs="Arial"/>
        </w:rPr>
        <w:t xml:space="preserve"> 2023/24 – 2026/27. The forecast funding gap </w:t>
      </w:r>
      <w:r w:rsidRPr="005D463C">
        <w:rPr>
          <w:rFonts w:cs="Arial"/>
        </w:rPr>
        <w:t xml:space="preserve">for </w:t>
      </w:r>
      <w:r w:rsidR="379C70A2" w:rsidRPr="005D463C">
        <w:rPr>
          <w:rFonts w:cs="Arial"/>
        </w:rPr>
        <w:t xml:space="preserve">2023/24 </w:t>
      </w:r>
      <w:r w:rsidRPr="00313701">
        <w:rPr>
          <w:rFonts w:cs="Arial"/>
        </w:rPr>
        <w:t>is £</w:t>
      </w:r>
      <w:r w:rsidR="00313701">
        <w:rPr>
          <w:rFonts w:cs="Arial"/>
        </w:rPr>
        <w:t>87.054m</w:t>
      </w:r>
      <w:r w:rsidRPr="00313701">
        <w:rPr>
          <w:rFonts w:cs="Arial"/>
        </w:rPr>
        <w:t>,</w:t>
      </w:r>
      <w:r w:rsidRPr="0B86641D">
        <w:rPr>
          <w:rFonts w:cs="Arial"/>
        </w:rPr>
        <w:t xml:space="preserve"> with an updated aggregated funding gap contained within the report of </w:t>
      </w:r>
      <w:r w:rsidRPr="005D463C">
        <w:rPr>
          <w:rFonts w:cs="Arial"/>
        </w:rPr>
        <w:t>£</w:t>
      </w:r>
      <w:r w:rsidR="00A65D40" w:rsidRPr="00C122FC">
        <w:rPr>
          <w:rFonts w:cs="Arial"/>
        </w:rPr>
        <w:t>159.678</w:t>
      </w:r>
      <w:r w:rsidRPr="00F84C80">
        <w:rPr>
          <w:rFonts w:cs="Arial"/>
        </w:rPr>
        <w:t>m</w:t>
      </w:r>
      <w:r w:rsidRPr="0B86641D">
        <w:rPr>
          <w:rFonts w:cs="Arial"/>
        </w:rPr>
        <w:t xml:space="preserve"> by 2026/27 which is a</w:t>
      </w:r>
      <w:r w:rsidR="66EBA0A8" w:rsidRPr="0B86641D">
        <w:rPr>
          <w:rFonts w:cs="Arial"/>
        </w:rPr>
        <w:t>n increase</w:t>
      </w:r>
      <w:r w:rsidRPr="0B86641D">
        <w:rPr>
          <w:rFonts w:cs="Arial"/>
        </w:rPr>
        <w:t xml:space="preserve"> of £</w:t>
      </w:r>
      <w:r w:rsidR="00A65D40" w:rsidRPr="0B86641D">
        <w:rPr>
          <w:rFonts w:cs="Arial"/>
        </w:rPr>
        <w:t>118.329m</w:t>
      </w:r>
      <w:r w:rsidRPr="0B86641D">
        <w:rPr>
          <w:rFonts w:cs="Arial"/>
        </w:rPr>
        <w:t xml:space="preserve"> from the previously reported position in </w:t>
      </w:r>
      <w:r w:rsidR="66EBA0A8" w:rsidRPr="0B86641D">
        <w:rPr>
          <w:rFonts w:cs="Arial"/>
        </w:rPr>
        <w:t>February</w:t>
      </w:r>
      <w:r w:rsidR="46C97A30" w:rsidRPr="0B86641D">
        <w:rPr>
          <w:rFonts w:cs="Arial"/>
        </w:rPr>
        <w:t xml:space="preserve"> for 2024/25</w:t>
      </w:r>
      <w:r w:rsidR="4C80E661" w:rsidRPr="0B86641D">
        <w:rPr>
          <w:rFonts w:cs="Arial"/>
        </w:rPr>
        <w:t>.</w:t>
      </w:r>
      <w:r w:rsidR="66EBA0A8" w:rsidRPr="0B86641D">
        <w:rPr>
          <w:rFonts w:cs="Arial"/>
        </w:rPr>
        <w:t xml:space="preserve"> </w:t>
      </w:r>
      <w:r w:rsidR="4C80E661" w:rsidRPr="0B86641D">
        <w:rPr>
          <w:rFonts w:cs="Arial"/>
        </w:rPr>
        <w:t>Th</w:t>
      </w:r>
      <w:r w:rsidR="000D7E4B">
        <w:rPr>
          <w:rFonts w:cs="Arial"/>
        </w:rPr>
        <w:t xml:space="preserve">e movement has been caused by a number of factors including </w:t>
      </w:r>
      <w:r w:rsidR="66EBA0A8" w:rsidRPr="0B86641D">
        <w:rPr>
          <w:rFonts w:cs="Arial"/>
        </w:rPr>
        <w:t xml:space="preserve"> </w:t>
      </w:r>
      <w:r w:rsidR="00834095">
        <w:rPr>
          <w:rFonts w:eastAsia="Arial" w:cs="Arial"/>
        </w:rPr>
        <w:t>rising levels of inflation</w:t>
      </w:r>
      <w:r w:rsidR="69478C61" w:rsidRPr="0B86641D">
        <w:rPr>
          <w:rFonts w:eastAsia="Arial" w:cs="Arial"/>
        </w:rPr>
        <w:t xml:space="preserve">, a significantly higher than anticipated </w:t>
      </w:r>
      <w:r w:rsidR="000D7E4B">
        <w:rPr>
          <w:rFonts w:eastAsia="Arial" w:cs="Arial"/>
        </w:rPr>
        <w:t>proposed</w:t>
      </w:r>
      <w:r w:rsidR="000D7E4B" w:rsidRPr="0B86641D">
        <w:rPr>
          <w:rFonts w:eastAsia="Arial" w:cs="Arial"/>
        </w:rPr>
        <w:t xml:space="preserve"> </w:t>
      </w:r>
      <w:r w:rsidR="69478C61" w:rsidRPr="0B86641D">
        <w:rPr>
          <w:rFonts w:eastAsia="Arial" w:cs="Arial"/>
        </w:rPr>
        <w:t xml:space="preserve">national pay award and increasing demand for children's and </w:t>
      </w:r>
      <w:r w:rsidR="00035461" w:rsidRPr="0B86641D">
        <w:rPr>
          <w:rFonts w:eastAsia="Arial" w:cs="Arial"/>
        </w:rPr>
        <w:t>adult</w:t>
      </w:r>
      <w:r w:rsidR="69478C61" w:rsidRPr="0B86641D">
        <w:rPr>
          <w:rFonts w:eastAsia="Arial" w:cs="Arial"/>
        </w:rPr>
        <w:t xml:space="preserve"> services</w:t>
      </w:r>
      <w:r w:rsidR="66EBA0A8" w:rsidRPr="0B86641D">
        <w:rPr>
          <w:rFonts w:cs="Arial"/>
        </w:rPr>
        <w:t xml:space="preserve"> within the forecast</w:t>
      </w:r>
      <w:r w:rsidR="000D7E4B">
        <w:rPr>
          <w:rFonts w:cs="Arial"/>
        </w:rPr>
        <w:t xml:space="preserve"> along with </w:t>
      </w:r>
      <w:r w:rsidR="000D7E4B" w:rsidRPr="0B86641D">
        <w:rPr>
          <w:rFonts w:cs="Arial"/>
        </w:rPr>
        <w:t>the inclusion of an additional two financial years</w:t>
      </w:r>
      <w:r w:rsidR="000D7E4B">
        <w:rPr>
          <w:rFonts w:cs="Arial"/>
        </w:rPr>
        <w:t xml:space="preserve"> included within the medium term</w:t>
      </w:r>
      <w:r w:rsidR="000B0754">
        <w:rPr>
          <w:rFonts w:cs="Arial"/>
        </w:rPr>
        <w:t xml:space="preserve"> </w:t>
      </w:r>
      <w:r w:rsidR="000D7E4B">
        <w:rPr>
          <w:rFonts w:cs="Arial"/>
        </w:rPr>
        <w:t>financial strategy</w:t>
      </w:r>
      <w:r w:rsidRPr="0B86641D">
        <w:rPr>
          <w:rFonts w:cs="Arial"/>
        </w:rPr>
        <w:t>.</w:t>
      </w:r>
      <w:r w:rsidR="002B22AF">
        <w:rPr>
          <w:rFonts w:cs="Arial"/>
        </w:rPr>
        <w:t xml:space="preserve">  </w:t>
      </w:r>
    </w:p>
    <w:p w14:paraId="73EA862B" w14:textId="77777777" w:rsidR="000D7E4B" w:rsidRDefault="000D7E4B" w:rsidP="69478C61">
      <w:pPr>
        <w:tabs>
          <w:tab w:val="left" w:pos="567"/>
          <w:tab w:val="left" w:pos="1134"/>
        </w:tabs>
        <w:spacing w:after="0"/>
        <w:rPr>
          <w:rFonts w:cs="Arial"/>
        </w:rPr>
      </w:pPr>
    </w:p>
    <w:p w14:paraId="7DB6FAE0" w14:textId="1A8A2B2D" w:rsidR="0046463C" w:rsidRPr="003A755A" w:rsidRDefault="002B22AF" w:rsidP="69478C61">
      <w:pPr>
        <w:tabs>
          <w:tab w:val="left" w:pos="567"/>
          <w:tab w:val="left" w:pos="1134"/>
        </w:tabs>
        <w:spacing w:after="0"/>
        <w:rPr>
          <w:rFonts w:cs="Arial"/>
        </w:rPr>
      </w:pPr>
      <w:r>
        <w:rPr>
          <w:rFonts w:cs="Arial"/>
        </w:rPr>
        <w:t xml:space="preserve">The significant increase in the funding gap is due largely to economic factors outside the Council's control and are common to local government as a whole.  It is not possible to predict with any certainty the ultimate scale and length of the inflationary </w:t>
      </w:r>
      <w:r w:rsidR="00035461">
        <w:rPr>
          <w:rFonts w:cs="Arial"/>
        </w:rPr>
        <w:t>impacts,</w:t>
      </w:r>
      <w:r>
        <w:rPr>
          <w:rFonts w:cs="Arial"/>
        </w:rPr>
        <w:t xml:space="preserve"> but assumptions have </w:t>
      </w:r>
      <w:r w:rsidR="000D7E4B">
        <w:rPr>
          <w:rFonts w:cs="Arial"/>
        </w:rPr>
        <w:t xml:space="preserve">necessarily </w:t>
      </w:r>
      <w:r>
        <w:rPr>
          <w:rFonts w:cs="Arial"/>
        </w:rPr>
        <w:t>been made in this forecast with regard to when more normal inflationary allowances could be anticipated.</w:t>
      </w:r>
      <w:r w:rsidR="00A854D0" w:rsidRPr="0B86641D">
        <w:rPr>
          <w:rFonts w:cs="Arial"/>
        </w:rPr>
        <w:t xml:space="preserve"> </w:t>
      </w:r>
    </w:p>
    <w:p w14:paraId="63E3EC05" w14:textId="77777777" w:rsidR="0046463C" w:rsidRPr="003A755A" w:rsidRDefault="0046463C" w:rsidP="0046463C">
      <w:pPr>
        <w:spacing w:after="0"/>
        <w:rPr>
          <w:rFonts w:cs="Arial"/>
          <w:highlight w:val="yellow"/>
        </w:rPr>
      </w:pPr>
    </w:p>
    <w:p w14:paraId="39E26265" w14:textId="0C3172D5" w:rsidR="0046463C" w:rsidRPr="003A755A" w:rsidRDefault="00A854D0" w:rsidP="69478C61">
      <w:pPr>
        <w:autoSpaceDE/>
        <w:autoSpaceDN/>
        <w:adjustRightInd/>
        <w:spacing w:after="0"/>
        <w:textAlignment w:val="baseline"/>
        <w:rPr>
          <w:rFonts w:cs="Arial"/>
        </w:rPr>
      </w:pPr>
      <w:r w:rsidRPr="69478C61">
        <w:rPr>
          <w:rFonts w:eastAsia="Arial" w:cs="Arial"/>
        </w:rPr>
        <w:t xml:space="preserve">The value of the uncommitted transitional reserve is currently forecast to be sufficient to meet the </w:t>
      </w:r>
      <w:r w:rsidR="00815CDA">
        <w:rPr>
          <w:rFonts w:eastAsia="Arial" w:cs="Arial"/>
        </w:rPr>
        <w:t>forecast</w:t>
      </w:r>
      <w:r w:rsidR="00815CDA" w:rsidRPr="69478C61">
        <w:rPr>
          <w:rFonts w:eastAsia="Arial" w:cs="Arial"/>
        </w:rPr>
        <w:t xml:space="preserve"> </w:t>
      </w:r>
      <w:r w:rsidRPr="69478C61">
        <w:rPr>
          <w:rFonts w:eastAsia="Arial" w:cs="Arial"/>
        </w:rPr>
        <w:t>funding gap</w:t>
      </w:r>
      <w:r w:rsidR="009A0890">
        <w:rPr>
          <w:rFonts w:eastAsia="Arial" w:cs="Arial"/>
        </w:rPr>
        <w:t xml:space="preserve"> in</w:t>
      </w:r>
      <w:r w:rsidRPr="69478C61">
        <w:rPr>
          <w:rFonts w:eastAsia="Arial" w:cs="Arial"/>
        </w:rPr>
        <w:t xml:space="preserve"> 2023/24 but not later years</w:t>
      </w:r>
      <w:r w:rsidR="002B22AF">
        <w:rPr>
          <w:rFonts w:eastAsia="Arial" w:cs="Arial"/>
        </w:rPr>
        <w:t xml:space="preserve"> due to the </w:t>
      </w:r>
      <w:r w:rsidR="00815CDA">
        <w:rPr>
          <w:rFonts w:eastAsia="Arial" w:cs="Arial"/>
        </w:rPr>
        <w:t>significant increase</w:t>
      </w:r>
      <w:r w:rsidR="00A07C9B">
        <w:rPr>
          <w:rFonts w:eastAsia="Arial" w:cs="Arial"/>
        </w:rPr>
        <w:t>,</w:t>
      </w:r>
      <w:r w:rsidR="00815CDA">
        <w:rPr>
          <w:rFonts w:eastAsia="Arial" w:cs="Arial"/>
        </w:rPr>
        <w:t xml:space="preserve"> </w:t>
      </w:r>
      <w:r w:rsidR="002B22AF">
        <w:rPr>
          <w:rFonts w:eastAsia="Arial" w:cs="Arial"/>
        </w:rPr>
        <w:t>and work is progressing on identifying proposals that will reduce the forecast funding gap and the requirement for reserves to support the revenue budget</w:t>
      </w:r>
      <w:r w:rsidR="000D7E4B">
        <w:rPr>
          <w:rFonts w:eastAsia="Arial" w:cs="Arial"/>
        </w:rPr>
        <w:t xml:space="preserve"> in future years</w:t>
      </w:r>
      <w:r w:rsidR="002B22AF">
        <w:rPr>
          <w:rFonts w:eastAsia="Arial" w:cs="Arial"/>
        </w:rPr>
        <w:t xml:space="preserve">.  </w:t>
      </w:r>
      <w:r w:rsidR="002B22AF">
        <w:rPr>
          <w:rFonts w:cs="Arial"/>
        </w:rPr>
        <w:t>Proposals to reduce the funding gap</w:t>
      </w:r>
      <w:r w:rsidR="000D7E4B">
        <w:rPr>
          <w:rFonts w:cs="Arial"/>
        </w:rPr>
        <w:t xml:space="preserve"> will</w:t>
      </w:r>
      <w:r w:rsidR="002B22AF">
        <w:rPr>
          <w:rFonts w:cs="Arial"/>
        </w:rPr>
        <w:t xml:space="preserve"> be considered at future Cabinet meetings.</w:t>
      </w:r>
    </w:p>
    <w:p w14:paraId="3CE589B8" w14:textId="77777777" w:rsidR="0046463C" w:rsidRPr="003A755A" w:rsidRDefault="00A854D0" w:rsidP="39343541">
      <w:pPr>
        <w:autoSpaceDE/>
        <w:autoSpaceDN/>
        <w:adjustRightInd/>
        <w:spacing w:after="0"/>
        <w:textAlignment w:val="baseline"/>
        <w:rPr>
          <w:rFonts w:cs="Arial"/>
        </w:rPr>
      </w:pPr>
      <w:r w:rsidRPr="39343541">
        <w:rPr>
          <w:rFonts w:cs="Arial"/>
        </w:rPr>
        <w:t xml:space="preserve"> </w:t>
      </w:r>
    </w:p>
    <w:p w14:paraId="51F525BB" w14:textId="36E14D88" w:rsidR="0046463C" w:rsidRPr="003A755A" w:rsidRDefault="00A854D0" w:rsidP="69478C61">
      <w:pPr>
        <w:autoSpaceDE/>
        <w:autoSpaceDN/>
        <w:adjustRightInd/>
        <w:spacing w:after="0"/>
        <w:textAlignment w:val="baseline"/>
        <w:rPr>
          <w:rFonts w:cs="Arial"/>
        </w:rPr>
      </w:pPr>
      <w:r w:rsidRPr="69478C61">
        <w:rPr>
          <w:rFonts w:cs="Arial"/>
        </w:rPr>
        <w:t xml:space="preserve">The table below provides a detailed analysis of movements between the previously reported financial gap and the revised financial gap: </w:t>
      </w:r>
    </w:p>
    <w:p w14:paraId="44B547B5" w14:textId="739FD24F" w:rsidR="005C3F5B" w:rsidRDefault="00A854D0">
      <w:pPr>
        <w:autoSpaceDE/>
        <w:autoSpaceDN/>
        <w:adjustRightInd/>
        <w:spacing w:after="0"/>
        <w:jc w:val="left"/>
        <w:rPr>
          <w:rFonts w:cs="Arial"/>
        </w:rPr>
      </w:pPr>
      <w:r>
        <w:rPr>
          <w:rFonts w:cs="Arial"/>
        </w:rPr>
        <w:br w:type="page"/>
      </w:r>
    </w:p>
    <w:p w14:paraId="555410B7" w14:textId="77777777" w:rsidR="0046463C" w:rsidRPr="003A755A" w:rsidRDefault="0046463C" w:rsidP="69478C61">
      <w:pPr>
        <w:spacing w:after="0"/>
        <w:rPr>
          <w:rFonts w:cs="Arial"/>
        </w:rPr>
      </w:pPr>
    </w:p>
    <w:p w14:paraId="798CBD3F" w14:textId="6C4F361F" w:rsidR="0046463C" w:rsidRPr="00B8070F" w:rsidRDefault="00A854D0" w:rsidP="0046463C">
      <w:pPr>
        <w:spacing w:after="0"/>
        <w:rPr>
          <w:rFonts w:cs="Arial"/>
          <w:b/>
          <w:i/>
          <w:u w:val="single"/>
        </w:rPr>
      </w:pPr>
      <w:r w:rsidRPr="00B8070F">
        <w:rPr>
          <w:rFonts w:cs="Arial"/>
          <w:b/>
          <w:i/>
          <w:u w:val="single"/>
        </w:rPr>
        <w:t>Table 1</w:t>
      </w:r>
    </w:p>
    <w:p w14:paraId="0114D720" w14:textId="77777777" w:rsidR="007119B7" w:rsidRDefault="007119B7" w:rsidP="0046463C">
      <w:pPr>
        <w:spacing w:after="0"/>
        <w:rPr>
          <w:rFonts w:cs="Arial"/>
          <w:b/>
          <w:i/>
          <w:highlight w:val="yellow"/>
          <w:u w:val="single"/>
        </w:rPr>
      </w:pPr>
    </w:p>
    <w:tbl>
      <w:tblPr>
        <w:tblW w:w="5000" w:type="pct"/>
        <w:tblLook w:val="04A0" w:firstRow="1" w:lastRow="0" w:firstColumn="1" w:lastColumn="0" w:noHBand="0" w:noVBand="1"/>
      </w:tblPr>
      <w:tblGrid>
        <w:gridCol w:w="3586"/>
        <w:gridCol w:w="1084"/>
        <w:gridCol w:w="1084"/>
        <w:gridCol w:w="1084"/>
        <w:gridCol w:w="1084"/>
        <w:gridCol w:w="1084"/>
      </w:tblGrid>
      <w:tr w:rsidR="006C72FB" w14:paraId="63E11C01" w14:textId="77777777" w:rsidTr="0B86641D">
        <w:trPr>
          <w:trHeight w:val="630"/>
        </w:trPr>
        <w:tc>
          <w:tcPr>
            <w:tcW w:w="2165" w:type="pct"/>
            <w:tcBorders>
              <w:top w:val="single" w:sz="8" w:space="0" w:color="auto"/>
              <w:left w:val="single" w:sz="8" w:space="0" w:color="auto"/>
              <w:bottom w:val="nil"/>
              <w:right w:val="single" w:sz="8" w:space="0" w:color="auto"/>
            </w:tcBorders>
            <w:shd w:val="clear" w:color="auto" w:fill="BFBFBF" w:themeFill="background1" w:themeFillShade="BF"/>
            <w:hideMark/>
          </w:tcPr>
          <w:p w14:paraId="0ACA151A" w14:textId="77777777" w:rsidR="00382C85" w:rsidRPr="00382C85" w:rsidRDefault="00A854D0" w:rsidP="00382C85">
            <w:pPr>
              <w:autoSpaceDE/>
              <w:autoSpaceDN/>
              <w:adjustRightInd/>
              <w:spacing w:after="0"/>
              <w:jc w:val="left"/>
              <w:rPr>
                <w:rFonts w:eastAsia="Times New Roman" w:cs="Arial"/>
                <w:lang w:eastAsia="en-GB"/>
              </w:rPr>
            </w:pPr>
            <w:r w:rsidRPr="00382C85">
              <w:rPr>
                <w:rFonts w:eastAsia="Times New Roman" w:cs="Arial"/>
                <w:lang w:eastAsia="en-GB"/>
              </w:rPr>
              <w:t> </w:t>
            </w:r>
          </w:p>
        </w:tc>
        <w:tc>
          <w:tcPr>
            <w:tcW w:w="544" w:type="pct"/>
            <w:tcBorders>
              <w:top w:val="single" w:sz="8" w:space="0" w:color="auto"/>
              <w:left w:val="nil"/>
              <w:bottom w:val="nil"/>
              <w:right w:val="single" w:sz="8" w:space="0" w:color="auto"/>
            </w:tcBorders>
            <w:shd w:val="clear" w:color="auto" w:fill="BFBFBF" w:themeFill="background1" w:themeFillShade="BF"/>
            <w:vAlign w:val="center"/>
            <w:hideMark/>
          </w:tcPr>
          <w:p w14:paraId="0598331B" w14:textId="77777777" w:rsidR="00382C85" w:rsidRPr="00382C85" w:rsidRDefault="00A854D0" w:rsidP="00382C85">
            <w:pPr>
              <w:autoSpaceDE/>
              <w:autoSpaceDN/>
              <w:adjustRightInd/>
              <w:spacing w:after="0"/>
              <w:jc w:val="center"/>
              <w:rPr>
                <w:rFonts w:eastAsia="Times New Roman" w:cs="Arial"/>
                <w:b/>
                <w:bCs/>
                <w:lang w:eastAsia="en-GB"/>
              </w:rPr>
            </w:pPr>
            <w:r w:rsidRPr="00382C85">
              <w:rPr>
                <w:rFonts w:eastAsia="Times New Roman" w:cs="Arial"/>
                <w:b/>
                <w:bCs/>
                <w:lang w:eastAsia="en-GB"/>
              </w:rPr>
              <w:t>2023/24</w:t>
            </w:r>
          </w:p>
        </w:tc>
        <w:tc>
          <w:tcPr>
            <w:tcW w:w="660" w:type="pct"/>
            <w:tcBorders>
              <w:top w:val="single" w:sz="8" w:space="0" w:color="auto"/>
              <w:left w:val="nil"/>
              <w:bottom w:val="nil"/>
              <w:right w:val="single" w:sz="8" w:space="0" w:color="auto"/>
            </w:tcBorders>
            <w:shd w:val="clear" w:color="auto" w:fill="BFBFBF" w:themeFill="background1" w:themeFillShade="BF"/>
            <w:vAlign w:val="center"/>
            <w:hideMark/>
          </w:tcPr>
          <w:p w14:paraId="3AED502D" w14:textId="77777777" w:rsidR="00382C85" w:rsidRPr="00382C85" w:rsidRDefault="00A854D0" w:rsidP="00382C85">
            <w:pPr>
              <w:autoSpaceDE/>
              <w:autoSpaceDN/>
              <w:adjustRightInd/>
              <w:spacing w:after="0"/>
              <w:jc w:val="center"/>
              <w:rPr>
                <w:rFonts w:eastAsia="Times New Roman" w:cs="Arial"/>
                <w:b/>
                <w:bCs/>
                <w:lang w:eastAsia="en-GB"/>
              </w:rPr>
            </w:pPr>
            <w:r w:rsidRPr="00382C85">
              <w:rPr>
                <w:rFonts w:eastAsia="Times New Roman" w:cs="Arial"/>
                <w:b/>
                <w:bCs/>
                <w:lang w:eastAsia="en-GB"/>
              </w:rPr>
              <w:t>2024/25</w:t>
            </w:r>
          </w:p>
        </w:tc>
        <w:tc>
          <w:tcPr>
            <w:tcW w:w="544" w:type="pct"/>
            <w:tcBorders>
              <w:top w:val="single" w:sz="8" w:space="0" w:color="auto"/>
              <w:left w:val="nil"/>
              <w:bottom w:val="nil"/>
              <w:right w:val="single" w:sz="8" w:space="0" w:color="auto"/>
            </w:tcBorders>
            <w:shd w:val="clear" w:color="auto" w:fill="BFBFBF" w:themeFill="background1" w:themeFillShade="BF"/>
            <w:vAlign w:val="center"/>
            <w:hideMark/>
          </w:tcPr>
          <w:p w14:paraId="3D299F1F" w14:textId="77777777" w:rsidR="00382C85" w:rsidRPr="00382C85" w:rsidRDefault="00A854D0" w:rsidP="00382C85">
            <w:pPr>
              <w:autoSpaceDE/>
              <w:autoSpaceDN/>
              <w:adjustRightInd/>
              <w:spacing w:after="0"/>
              <w:jc w:val="center"/>
              <w:rPr>
                <w:rFonts w:eastAsia="Times New Roman" w:cs="Arial"/>
                <w:b/>
                <w:bCs/>
                <w:lang w:eastAsia="en-GB"/>
              </w:rPr>
            </w:pPr>
            <w:r w:rsidRPr="00382C85">
              <w:rPr>
                <w:rFonts w:eastAsia="Times New Roman" w:cs="Arial"/>
                <w:b/>
                <w:bCs/>
                <w:lang w:eastAsia="en-GB"/>
              </w:rPr>
              <w:t>2025/26</w:t>
            </w:r>
          </w:p>
        </w:tc>
        <w:tc>
          <w:tcPr>
            <w:tcW w:w="544" w:type="pct"/>
            <w:tcBorders>
              <w:top w:val="single" w:sz="8" w:space="0" w:color="auto"/>
              <w:left w:val="nil"/>
              <w:bottom w:val="nil"/>
              <w:right w:val="single" w:sz="8" w:space="0" w:color="auto"/>
            </w:tcBorders>
            <w:shd w:val="clear" w:color="auto" w:fill="BFBFBF" w:themeFill="background1" w:themeFillShade="BF"/>
            <w:vAlign w:val="center"/>
            <w:hideMark/>
          </w:tcPr>
          <w:p w14:paraId="00CA3AC3" w14:textId="77777777" w:rsidR="00382C85" w:rsidRPr="00382C85" w:rsidRDefault="00A854D0" w:rsidP="00382C85">
            <w:pPr>
              <w:autoSpaceDE/>
              <w:autoSpaceDN/>
              <w:adjustRightInd/>
              <w:spacing w:after="0"/>
              <w:jc w:val="center"/>
              <w:rPr>
                <w:rFonts w:eastAsia="Times New Roman" w:cs="Arial"/>
                <w:b/>
                <w:bCs/>
                <w:lang w:eastAsia="en-GB"/>
              </w:rPr>
            </w:pPr>
            <w:r w:rsidRPr="00382C85">
              <w:rPr>
                <w:rFonts w:eastAsia="Times New Roman" w:cs="Arial"/>
                <w:b/>
                <w:bCs/>
                <w:lang w:eastAsia="en-GB"/>
              </w:rPr>
              <w:t>2026/27</w:t>
            </w:r>
          </w:p>
        </w:tc>
        <w:tc>
          <w:tcPr>
            <w:tcW w:w="544" w:type="pct"/>
            <w:tcBorders>
              <w:top w:val="single" w:sz="8" w:space="0" w:color="auto"/>
              <w:left w:val="nil"/>
              <w:bottom w:val="nil"/>
              <w:right w:val="single" w:sz="8" w:space="0" w:color="auto"/>
            </w:tcBorders>
            <w:shd w:val="clear" w:color="auto" w:fill="BFBFBF" w:themeFill="background1" w:themeFillShade="BF"/>
            <w:vAlign w:val="center"/>
            <w:hideMark/>
          </w:tcPr>
          <w:p w14:paraId="693CFDCA" w14:textId="77777777" w:rsidR="00382C85" w:rsidRPr="00382C85" w:rsidRDefault="00A854D0" w:rsidP="00382C85">
            <w:pPr>
              <w:autoSpaceDE/>
              <w:autoSpaceDN/>
              <w:adjustRightInd/>
              <w:spacing w:after="0"/>
              <w:jc w:val="center"/>
              <w:rPr>
                <w:rFonts w:eastAsia="Times New Roman" w:cs="Arial"/>
                <w:b/>
                <w:bCs/>
                <w:lang w:eastAsia="en-GB"/>
              </w:rPr>
            </w:pPr>
            <w:r w:rsidRPr="00382C85">
              <w:rPr>
                <w:rFonts w:eastAsia="Times New Roman" w:cs="Arial"/>
                <w:b/>
                <w:bCs/>
                <w:lang w:eastAsia="en-GB"/>
              </w:rPr>
              <w:t>Total</w:t>
            </w:r>
          </w:p>
        </w:tc>
      </w:tr>
      <w:tr w:rsidR="006C72FB" w14:paraId="32037C49" w14:textId="77777777" w:rsidTr="0B86641D">
        <w:trPr>
          <w:trHeight w:val="330"/>
        </w:trPr>
        <w:tc>
          <w:tcPr>
            <w:tcW w:w="2165" w:type="pct"/>
            <w:tcBorders>
              <w:top w:val="nil"/>
              <w:left w:val="single" w:sz="8" w:space="0" w:color="auto"/>
              <w:bottom w:val="single" w:sz="8" w:space="0" w:color="auto"/>
              <w:right w:val="single" w:sz="8" w:space="0" w:color="auto"/>
            </w:tcBorders>
            <w:shd w:val="clear" w:color="auto" w:fill="BFBFBF" w:themeFill="background1" w:themeFillShade="BF"/>
            <w:hideMark/>
          </w:tcPr>
          <w:p w14:paraId="4DFC2DB3" w14:textId="77777777" w:rsidR="00382C85" w:rsidRPr="00382C85" w:rsidRDefault="00A854D0" w:rsidP="00382C85">
            <w:pPr>
              <w:autoSpaceDE/>
              <w:autoSpaceDN/>
              <w:adjustRightInd/>
              <w:spacing w:after="0"/>
              <w:jc w:val="left"/>
              <w:rPr>
                <w:rFonts w:eastAsia="Times New Roman" w:cs="Arial"/>
                <w:lang w:eastAsia="en-GB"/>
              </w:rPr>
            </w:pPr>
            <w:r w:rsidRPr="00382C85">
              <w:rPr>
                <w:rFonts w:eastAsia="Times New Roman" w:cs="Arial"/>
                <w:lang w:eastAsia="en-GB"/>
              </w:rPr>
              <w:t> </w:t>
            </w:r>
          </w:p>
        </w:tc>
        <w:tc>
          <w:tcPr>
            <w:tcW w:w="544" w:type="pct"/>
            <w:tcBorders>
              <w:top w:val="nil"/>
              <w:left w:val="nil"/>
              <w:bottom w:val="single" w:sz="8" w:space="0" w:color="auto"/>
              <w:right w:val="single" w:sz="8" w:space="0" w:color="auto"/>
            </w:tcBorders>
            <w:shd w:val="clear" w:color="auto" w:fill="BFBFBF" w:themeFill="background1" w:themeFillShade="BF"/>
            <w:vAlign w:val="center"/>
            <w:hideMark/>
          </w:tcPr>
          <w:p w14:paraId="5E7215F9" w14:textId="77777777" w:rsidR="00382C85" w:rsidRPr="00382C85" w:rsidRDefault="00A854D0" w:rsidP="00382C85">
            <w:pPr>
              <w:autoSpaceDE/>
              <w:autoSpaceDN/>
              <w:adjustRightInd/>
              <w:spacing w:after="0"/>
              <w:jc w:val="center"/>
              <w:rPr>
                <w:rFonts w:eastAsia="Times New Roman" w:cs="Arial"/>
                <w:b/>
                <w:bCs/>
                <w:lang w:eastAsia="en-GB"/>
              </w:rPr>
            </w:pPr>
            <w:r w:rsidRPr="00382C85">
              <w:rPr>
                <w:rFonts w:eastAsia="Times New Roman" w:cs="Arial"/>
                <w:b/>
                <w:bCs/>
                <w:lang w:eastAsia="en-GB"/>
              </w:rPr>
              <w:t>£m</w:t>
            </w:r>
          </w:p>
        </w:tc>
        <w:tc>
          <w:tcPr>
            <w:tcW w:w="660" w:type="pct"/>
            <w:tcBorders>
              <w:top w:val="nil"/>
              <w:left w:val="nil"/>
              <w:bottom w:val="single" w:sz="8" w:space="0" w:color="auto"/>
              <w:right w:val="single" w:sz="8" w:space="0" w:color="auto"/>
            </w:tcBorders>
            <w:shd w:val="clear" w:color="auto" w:fill="BFBFBF" w:themeFill="background1" w:themeFillShade="BF"/>
            <w:vAlign w:val="center"/>
            <w:hideMark/>
          </w:tcPr>
          <w:p w14:paraId="59C1EB84" w14:textId="77777777" w:rsidR="00382C85" w:rsidRPr="00382C85" w:rsidRDefault="00A854D0" w:rsidP="00382C85">
            <w:pPr>
              <w:autoSpaceDE/>
              <w:autoSpaceDN/>
              <w:adjustRightInd/>
              <w:spacing w:after="0"/>
              <w:jc w:val="center"/>
              <w:rPr>
                <w:rFonts w:eastAsia="Times New Roman" w:cs="Arial"/>
                <w:b/>
                <w:bCs/>
                <w:lang w:eastAsia="en-GB"/>
              </w:rPr>
            </w:pPr>
            <w:r w:rsidRPr="00382C85">
              <w:rPr>
                <w:rFonts w:eastAsia="Times New Roman" w:cs="Arial"/>
                <w:b/>
                <w:bCs/>
                <w:lang w:eastAsia="en-GB"/>
              </w:rPr>
              <w:t>£m</w:t>
            </w:r>
          </w:p>
        </w:tc>
        <w:tc>
          <w:tcPr>
            <w:tcW w:w="544" w:type="pct"/>
            <w:tcBorders>
              <w:top w:val="nil"/>
              <w:left w:val="nil"/>
              <w:bottom w:val="single" w:sz="8" w:space="0" w:color="auto"/>
              <w:right w:val="single" w:sz="8" w:space="0" w:color="auto"/>
            </w:tcBorders>
            <w:shd w:val="clear" w:color="auto" w:fill="BFBFBF" w:themeFill="background1" w:themeFillShade="BF"/>
            <w:vAlign w:val="center"/>
            <w:hideMark/>
          </w:tcPr>
          <w:p w14:paraId="7F74FCAB" w14:textId="77777777" w:rsidR="00382C85" w:rsidRPr="00382C85" w:rsidRDefault="00A854D0" w:rsidP="00382C85">
            <w:pPr>
              <w:autoSpaceDE/>
              <w:autoSpaceDN/>
              <w:adjustRightInd/>
              <w:spacing w:after="0"/>
              <w:jc w:val="center"/>
              <w:rPr>
                <w:rFonts w:eastAsia="Times New Roman" w:cs="Arial"/>
                <w:b/>
                <w:bCs/>
                <w:lang w:eastAsia="en-GB"/>
              </w:rPr>
            </w:pPr>
            <w:r w:rsidRPr="00382C85">
              <w:rPr>
                <w:rFonts w:eastAsia="Times New Roman" w:cs="Arial"/>
                <w:b/>
                <w:bCs/>
                <w:lang w:eastAsia="en-GB"/>
              </w:rPr>
              <w:t>£m</w:t>
            </w:r>
          </w:p>
        </w:tc>
        <w:tc>
          <w:tcPr>
            <w:tcW w:w="544" w:type="pct"/>
            <w:tcBorders>
              <w:top w:val="nil"/>
              <w:left w:val="nil"/>
              <w:bottom w:val="single" w:sz="8" w:space="0" w:color="auto"/>
              <w:right w:val="single" w:sz="8" w:space="0" w:color="auto"/>
            </w:tcBorders>
            <w:shd w:val="clear" w:color="auto" w:fill="BFBFBF" w:themeFill="background1" w:themeFillShade="BF"/>
            <w:vAlign w:val="center"/>
            <w:hideMark/>
          </w:tcPr>
          <w:p w14:paraId="460E2488" w14:textId="77777777" w:rsidR="00382C85" w:rsidRPr="00382C85" w:rsidRDefault="00A854D0" w:rsidP="00382C85">
            <w:pPr>
              <w:autoSpaceDE/>
              <w:autoSpaceDN/>
              <w:adjustRightInd/>
              <w:spacing w:after="0"/>
              <w:jc w:val="center"/>
              <w:rPr>
                <w:rFonts w:eastAsia="Times New Roman" w:cs="Arial"/>
                <w:b/>
                <w:bCs/>
                <w:lang w:eastAsia="en-GB"/>
              </w:rPr>
            </w:pPr>
            <w:r w:rsidRPr="00382C85">
              <w:rPr>
                <w:rFonts w:eastAsia="Times New Roman" w:cs="Arial"/>
                <w:b/>
                <w:bCs/>
                <w:lang w:eastAsia="en-GB"/>
              </w:rPr>
              <w:t>£m</w:t>
            </w:r>
          </w:p>
        </w:tc>
        <w:tc>
          <w:tcPr>
            <w:tcW w:w="544" w:type="pct"/>
            <w:tcBorders>
              <w:top w:val="nil"/>
              <w:left w:val="nil"/>
              <w:bottom w:val="single" w:sz="8" w:space="0" w:color="auto"/>
              <w:right w:val="single" w:sz="8" w:space="0" w:color="auto"/>
            </w:tcBorders>
            <w:shd w:val="clear" w:color="auto" w:fill="BFBFBF" w:themeFill="background1" w:themeFillShade="BF"/>
            <w:vAlign w:val="center"/>
            <w:hideMark/>
          </w:tcPr>
          <w:p w14:paraId="279C4B5A" w14:textId="77777777" w:rsidR="00382C85" w:rsidRPr="00382C85" w:rsidRDefault="00A854D0" w:rsidP="00382C85">
            <w:pPr>
              <w:autoSpaceDE/>
              <w:autoSpaceDN/>
              <w:adjustRightInd/>
              <w:spacing w:after="0"/>
              <w:jc w:val="center"/>
              <w:rPr>
                <w:rFonts w:eastAsia="Times New Roman" w:cs="Arial"/>
                <w:b/>
                <w:bCs/>
                <w:lang w:eastAsia="en-GB"/>
              </w:rPr>
            </w:pPr>
            <w:r w:rsidRPr="00382C85">
              <w:rPr>
                <w:rFonts w:eastAsia="Times New Roman" w:cs="Arial"/>
                <w:b/>
                <w:bCs/>
                <w:lang w:eastAsia="en-GB"/>
              </w:rPr>
              <w:t>£m</w:t>
            </w:r>
          </w:p>
        </w:tc>
      </w:tr>
      <w:tr w:rsidR="006C72FB" w14:paraId="51CDC936" w14:textId="77777777" w:rsidTr="00C122FC">
        <w:trPr>
          <w:trHeight w:val="645"/>
        </w:trPr>
        <w:tc>
          <w:tcPr>
            <w:tcW w:w="2165" w:type="pct"/>
            <w:tcBorders>
              <w:top w:val="nil"/>
              <w:left w:val="single" w:sz="8" w:space="0" w:color="auto"/>
              <w:bottom w:val="single" w:sz="8" w:space="0" w:color="auto"/>
              <w:right w:val="single" w:sz="8" w:space="0" w:color="auto"/>
            </w:tcBorders>
            <w:shd w:val="clear" w:color="auto" w:fill="auto"/>
            <w:vAlign w:val="center"/>
            <w:hideMark/>
          </w:tcPr>
          <w:p w14:paraId="4AC3C606" w14:textId="77777777" w:rsidR="00382C85" w:rsidRPr="00382C85" w:rsidRDefault="00A854D0" w:rsidP="00382C85">
            <w:pPr>
              <w:autoSpaceDE/>
              <w:autoSpaceDN/>
              <w:adjustRightInd/>
              <w:spacing w:after="0"/>
              <w:jc w:val="left"/>
              <w:rPr>
                <w:rFonts w:eastAsia="Times New Roman" w:cs="Arial"/>
                <w:b/>
                <w:bCs/>
                <w:lang w:eastAsia="en-GB"/>
              </w:rPr>
            </w:pPr>
            <w:r w:rsidRPr="00382C85">
              <w:rPr>
                <w:rFonts w:eastAsia="Times New Roman" w:cs="Arial"/>
                <w:b/>
                <w:bCs/>
                <w:lang w:eastAsia="en-GB"/>
              </w:rPr>
              <w:t>Spending Gap as reported at Full Council (Amendment)</w:t>
            </w:r>
          </w:p>
        </w:tc>
        <w:tc>
          <w:tcPr>
            <w:tcW w:w="544" w:type="pct"/>
            <w:tcBorders>
              <w:top w:val="nil"/>
              <w:left w:val="nil"/>
              <w:bottom w:val="single" w:sz="8" w:space="0" w:color="auto"/>
              <w:right w:val="single" w:sz="8" w:space="0" w:color="auto"/>
            </w:tcBorders>
            <w:shd w:val="clear" w:color="auto" w:fill="auto"/>
            <w:vAlign w:val="center"/>
            <w:hideMark/>
          </w:tcPr>
          <w:p w14:paraId="5390B549" w14:textId="77777777" w:rsidR="00382C85" w:rsidRPr="00382C85" w:rsidRDefault="00A854D0" w:rsidP="00382C85">
            <w:pPr>
              <w:autoSpaceDE/>
              <w:autoSpaceDN/>
              <w:adjustRightInd/>
              <w:spacing w:after="0"/>
              <w:jc w:val="right"/>
              <w:rPr>
                <w:rFonts w:eastAsia="Times New Roman" w:cs="Arial"/>
                <w:b/>
                <w:bCs/>
                <w:lang w:eastAsia="en-GB"/>
              </w:rPr>
            </w:pPr>
            <w:r w:rsidRPr="00382C85">
              <w:rPr>
                <w:rFonts w:eastAsia="Times New Roman" w:cs="Arial"/>
                <w:b/>
                <w:bCs/>
                <w:lang w:eastAsia="en-GB"/>
              </w:rPr>
              <w:t>30.548</w:t>
            </w:r>
          </w:p>
        </w:tc>
        <w:tc>
          <w:tcPr>
            <w:tcW w:w="660" w:type="pct"/>
            <w:tcBorders>
              <w:top w:val="nil"/>
              <w:left w:val="nil"/>
              <w:bottom w:val="single" w:sz="8" w:space="0" w:color="auto"/>
              <w:right w:val="single" w:sz="8" w:space="0" w:color="auto"/>
            </w:tcBorders>
            <w:shd w:val="clear" w:color="auto" w:fill="auto"/>
            <w:vAlign w:val="center"/>
            <w:hideMark/>
          </w:tcPr>
          <w:p w14:paraId="71879AF1" w14:textId="77777777" w:rsidR="00382C85" w:rsidRPr="00382C85" w:rsidRDefault="00A854D0" w:rsidP="00382C85">
            <w:pPr>
              <w:autoSpaceDE/>
              <w:autoSpaceDN/>
              <w:adjustRightInd/>
              <w:spacing w:after="0"/>
              <w:jc w:val="right"/>
              <w:rPr>
                <w:rFonts w:eastAsia="Times New Roman" w:cs="Arial"/>
                <w:b/>
                <w:bCs/>
                <w:lang w:eastAsia="en-GB"/>
              </w:rPr>
            </w:pPr>
            <w:r w:rsidRPr="00382C85">
              <w:rPr>
                <w:rFonts w:eastAsia="Times New Roman" w:cs="Arial"/>
                <w:b/>
                <w:bCs/>
                <w:lang w:eastAsia="en-GB"/>
              </w:rPr>
              <w:t>10.801</w:t>
            </w:r>
          </w:p>
        </w:tc>
        <w:tc>
          <w:tcPr>
            <w:tcW w:w="544" w:type="pct"/>
            <w:tcBorders>
              <w:top w:val="nil"/>
              <w:left w:val="nil"/>
              <w:bottom w:val="single" w:sz="8" w:space="0" w:color="auto"/>
              <w:right w:val="single" w:sz="8" w:space="0" w:color="auto"/>
            </w:tcBorders>
            <w:shd w:val="clear" w:color="auto" w:fill="BFBFBF" w:themeFill="background1" w:themeFillShade="BF"/>
            <w:vAlign w:val="center"/>
            <w:hideMark/>
          </w:tcPr>
          <w:p w14:paraId="7A4FFF31" w14:textId="77777777" w:rsidR="00382C85" w:rsidRPr="00382C85" w:rsidRDefault="00A854D0" w:rsidP="00382C85">
            <w:pPr>
              <w:autoSpaceDE/>
              <w:autoSpaceDN/>
              <w:adjustRightInd/>
              <w:spacing w:after="0"/>
              <w:jc w:val="right"/>
              <w:rPr>
                <w:rFonts w:eastAsia="Times New Roman" w:cs="Arial"/>
                <w:lang w:eastAsia="en-GB"/>
              </w:rPr>
            </w:pPr>
            <w:r w:rsidRPr="00382C85">
              <w:rPr>
                <w:rFonts w:eastAsia="Times New Roman" w:cs="Arial"/>
                <w:lang w:eastAsia="en-GB"/>
              </w:rPr>
              <w:t> </w:t>
            </w:r>
          </w:p>
        </w:tc>
        <w:tc>
          <w:tcPr>
            <w:tcW w:w="544" w:type="pct"/>
            <w:tcBorders>
              <w:top w:val="nil"/>
              <w:left w:val="nil"/>
              <w:bottom w:val="single" w:sz="8" w:space="0" w:color="auto"/>
              <w:right w:val="single" w:sz="8" w:space="0" w:color="auto"/>
            </w:tcBorders>
            <w:shd w:val="clear" w:color="auto" w:fill="BFBFBF" w:themeFill="background1" w:themeFillShade="BF"/>
            <w:vAlign w:val="center"/>
            <w:hideMark/>
          </w:tcPr>
          <w:p w14:paraId="69FDED84" w14:textId="77777777" w:rsidR="00382C85" w:rsidRPr="00382C85" w:rsidRDefault="00A854D0" w:rsidP="00382C85">
            <w:pPr>
              <w:autoSpaceDE/>
              <w:autoSpaceDN/>
              <w:adjustRightInd/>
              <w:spacing w:after="0"/>
              <w:jc w:val="right"/>
              <w:rPr>
                <w:rFonts w:eastAsia="Times New Roman" w:cs="Arial"/>
                <w:lang w:eastAsia="en-GB"/>
              </w:rPr>
            </w:pPr>
            <w:r w:rsidRPr="00382C85">
              <w:rPr>
                <w:rFonts w:eastAsia="Times New Roman" w:cs="Arial"/>
                <w:lang w:eastAsia="en-GB"/>
              </w:rPr>
              <w:t> </w:t>
            </w:r>
          </w:p>
        </w:tc>
        <w:tc>
          <w:tcPr>
            <w:tcW w:w="544" w:type="pct"/>
            <w:tcBorders>
              <w:top w:val="nil"/>
              <w:left w:val="nil"/>
              <w:bottom w:val="single" w:sz="8" w:space="0" w:color="auto"/>
              <w:right w:val="single" w:sz="8" w:space="0" w:color="auto"/>
            </w:tcBorders>
            <w:shd w:val="clear" w:color="auto" w:fill="auto"/>
            <w:vAlign w:val="center"/>
            <w:hideMark/>
          </w:tcPr>
          <w:p w14:paraId="4D8DBE63" w14:textId="77777777" w:rsidR="00382C85" w:rsidRPr="00382C85" w:rsidRDefault="00A854D0" w:rsidP="00382C85">
            <w:pPr>
              <w:autoSpaceDE/>
              <w:autoSpaceDN/>
              <w:adjustRightInd/>
              <w:spacing w:after="0"/>
              <w:jc w:val="right"/>
              <w:rPr>
                <w:rFonts w:eastAsia="Times New Roman" w:cs="Arial"/>
                <w:b/>
                <w:bCs/>
                <w:lang w:eastAsia="en-GB"/>
              </w:rPr>
            </w:pPr>
            <w:r w:rsidRPr="00382C85">
              <w:rPr>
                <w:rFonts w:eastAsia="Times New Roman" w:cs="Arial"/>
                <w:b/>
                <w:bCs/>
                <w:lang w:eastAsia="en-GB"/>
              </w:rPr>
              <w:t>41.349</w:t>
            </w:r>
          </w:p>
        </w:tc>
      </w:tr>
      <w:tr w:rsidR="006C72FB" w14:paraId="3D53702B" w14:textId="77777777" w:rsidTr="0B86641D">
        <w:trPr>
          <w:trHeight w:val="315"/>
        </w:trPr>
        <w:tc>
          <w:tcPr>
            <w:tcW w:w="2165" w:type="pc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5EACF003" w14:textId="77777777" w:rsidR="00382C85" w:rsidRPr="00382C85" w:rsidRDefault="00A854D0" w:rsidP="00382C85">
            <w:pPr>
              <w:autoSpaceDE/>
              <w:autoSpaceDN/>
              <w:adjustRightInd/>
              <w:spacing w:after="0"/>
              <w:jc w:val="left"/>
              <w:rPr>
                <w:rFonts w:eastAsia="Times New Roman" w:cs="Arial"/>
                <w:lang w:eastAsia="en-GB"/>
              </w:rPr>
            </w:pPr>
            <w:r w:rsidRPr="00382C85">
              <w:rPr>
                <w:rFonts w:eastAsia="Times New Roman" w:cs="Arial"/>
                <w:lang w:eastAsia="en-GB"/>
              </w:rPr>
              <w:t>Add change to forecast of spending:</w:t>
            </w:r>
          </w:p>
        </w:tc>
        <w:tc>
          <w:tcPr>
            <w:tcW w:w="544" w:type="pct"/>
            <w:tcBorders>
              <w:top w:val="nil"/>
              <w:left w:val="nil"/>
              <w:bottom w:val="single" w:sz="8" w:space="0" w:color="auto"/>
              <w:right w:val="single" w:sz="8" w:space="0" w:color="auto"/>
            </w:tcBorders>
            <w:shd w:val="clear" w:color="auto" w:fill="BFBFBF" w:themeFill="background1" w:themeFillShade="BF"/>
            <w:vAlign w:val="center"/>
            <w:hideMark/>
          </w:tcPr>
          <w:p w14:paraId="2B80834D" w14:textId="77777777" w:rsidR="00382C85" w:rsidRPr="00382C85" w:rsidRDefault="00A854D0" w:rsidP="00382C85">
            <w:pPr>
              <w:autoSpaceDE/>
              <w:autoSpaceDN/>
              <w:adjustRightInd/>
              <w:spacing w:after="0"/>
              <w:jc w:val="right"/>
              <w:rPr>
                <w:rFonts w:eastAsia="Times New Roman" w:cs="Arial"/>
                <w:lang w:eastAsia="en-GB"/>
              </w:rPr>
            </w:pPr>
            <w:r w:rsidRPr="00382C85">
              <w:rPr>
                <w:rFonts w:eastAsia="Times New Roman" w:cs="Arial"/>
                <w:lang w:eastAsia="en-GB"/>
              </w:rPr>
              <w:t> </w:t>
            </w:r>
          </w:p>
        </w:tc>
        <w:tc>
          <w:tcPr>
            <w:tcW w:w="660" w:type="pct"/>
            <w:tcBorders>
              <w:top w:val="nil"/>
              <w:left w:val="nil"/>
              <w:bottom w:val="single" w:sz="8" w:space="0" w:color="auto"/>
              <w:right w:val="single" w:sz="8" w:space="0" w:color="auto"/>
            </w:tcBorders>
            <w:shd w:val="clear" w:color="auto" w:fill="BFBFBF" w:themeFill="background1" w:themeFillShade="BF"/>
            <w:vAlign w:val="center"/>
            <w:hideMark/>
          </w:tcPr>
          <w:p w14:paraId="7C39DD23" w14:textId="77777777" w:rsidR="00382C85" w:rsidRPr="00382C85" w:rsidRDefault="00A854D0" w:rsidP="00382C85">
            <w:pPr>
              <w:autoSpaceDE/>
              <w:autoSpaceDN/>
              <w:adjustRightInd/>
              <w:spacing w:after="0"/>
              <w:jc w:val="right"/>
              <w:rPr>
                <w:rFonts w:eastAsia="Times New Roman" w:cs="Arial"/>
                <w:lang w:eastAsia="en-GB"/>
              </w:rPr>
            </w:pPr>
            <w:r w:rsidRPr="00382C85">
              <w:rPr>
                <w:rFonts w:eastAsia="Times New Roman" w:cs="Arial"/>
                <w:lang w:eastAsia="en-GB"/>
              </w:rPr>
              <w:t> </w:t>
            </w:r>
          </w:p>
        </w:tc>
        <w:tc>
          <w:tcPr>
            <w:tcW w:w="544" w:type="pct"/>
            <w:tcBorders>
              <w:top w:val="nil"/>
              <w:left w:val="nil"/>
              <w:bottom w:val="single" w:sz="8" w:space="0" w:color="auto"/>
              <w:right w:val="single" w:sz="8" w:space="0" w:color="auto"/>
            </w:tcBorders>
            <w:shd w:val="clear" w:color="auto" w:fill="BFBFBF" w:themeFill="background1" w:themeFillShade="BF"/>
            <w:vAlign w:val="center"/>
            <w:hideMark/>
          </w:tcPr>
          <w:p w14:paraId="52E58272" w14:textId="77777777" w:rsidR="00382C85" w:rsidRPr="00382C85" w:rsidRDefault="00A854D0" w:rsidP="00382C85">
            <w:pPr>
              <w:autoSpaceDE/>
              <w:autoSpaceDN/>
              <w:adjustRightInd/>
              <w:spacing w:after="0"/>
              <w:jc w:val="right"/>
              <w:rPr>
                <w:rFonts w:eastAsia="Times New Roman" w:cs="Arial"/>
                <w:lang w:eastAsia="en-GB"/>
              </w:rPr>
            </w:pPr>
            <w:r w:rsidRPr="00382C85">
              <w:rPr>
                <w:rFonts w:eastAsia="Times New Roman" w:cs="Arial"/>
                <w:lang w:eastAsia="en-GB"/>
              </w:rPr>
              <w:t> </w:t>
            </w:r>
          </w:p>
        </w:tc>
        <w:tc>
          <w:tcPr>
            <w:tcW w:w="544" w:type="pct"/>
            <w:tcBorders>
              <w:top w:val="nil"/>
              <w:left w:val="nil"/>
              <w:bottom w:val="single" w:sz="8" w:space="0" w:color="auto"/>
              <w:right w:val="single" w:sz="8" w:space="0" w:color="auto"/>
            </w:tcBorders>
            <w:shd w:val="clear" w:color="auto" w:fill="BFBFBF" w:themeFill="background1" w:themeFillShade="BF"/>
            <w:vAlign w:val="center"/>
            <w:hideMark/>
          </w:tcPr>
          <w:p w14:paraId="49CA3DA2" w14:textId="77777777" w:rsidR="00382C85" w:rsidRPr="00382C85" w:rsidRDefault="00A854D0" w:rsidP="00382C85">
            <w:pPr>
              <w:autoSpaceDE/>
              <w:autoSpaceDN/>
              <w:adjustRightInd/>
              <w:spacing w:after="0"/>
              <w:jc w:val="right"/>
              <w:rPr>
                <w:rFonts w:eastAsia="Times New Roman" w:cs="Arial"/>
                <w:lang w:eastAsia="en-GB"/>
              </w:rPr>
            </w:pPr>
            <w:r w:rsidRPr="00382C85">
              <w:rPr>
                <w:rFonts w:eastAsia="Times New Roman" w:cs="Arial"/>
                <w:lang w:eastAsia="en-GB"/>
              </w:rPr>
              <w:t> </w:t>
            </w:r>
          </w:p>
        </w:tc>
        <w:tc>
          <w:tcPr>
            <w:tcW w:w="544" w:type="pct"/>
            <w:tcBorders>
              <w:top w:val="nil"/>
              <w:left w:val="nil"/>
              <w:bottom w:val="single" w:sz="8" w:space="0" w:color="auto"/>
              <w:right w:val="single" w:sz="8" w:space="0" w:color="auto"/>
            </w:tcBorders>
            <w:shd w:val="clear" w:color="auto" w:fill="BFBFBF" w:themeFill="background1" w:themeFillShade="BF"/>
            <w:vAlign w:val="center"/>
            <w:hideMark/>
          </w:tcPr>
          <w:p w14:paraId="6EAB511B" w14:textId="77777777" w:rsidR="00382C85" w:rsidRPr="00382C85" w:rsidRDefault="00A854D0" w:rsidP="00382C85">
            <w:pPr>
              <w:autoSpaceDE/>
              <w:autoSpaceDN/>
              <w:adjustRightInd/>
              <w:spacing w:after="0"/>
              <w:jc w:val="right"/>
              <w:rPr>
                <w:rFonts w:eastAsia="Times New Roman" w:cs="Arial"/>
                <w:lang w:eastAsia="en-GB"/>
              </w:rPr>
            </w:pPr>
            <w:r w:rsidRPr="00382C85">
              <w:rPr>
                <w:rFonts w:eastAsia="Times New Roman" w:cs="Arial"/>
                <w:lang w:eastAsia="en-GB"/>
              </w:rPr>
              <w:t> </w:t>
            </w:r>
          </w:p>
        </w:tc>
      </w:tr>
      <w:tr w:rsidR="006C72FB" w14:paraId="027C12E2" w14:textId="77777777" w:rsidTr="00C122FC">
        <w:trPr>
          <w:trHeight w:val="315"/>
        </w:trPr>
        <w:tc>
          <w:tcPr>
            <w:tcW w:w="2165" w:type="pct"/>
            <w:tcBorders>
              <w:top w:val="nil"/>
              <w:left w:val="single" w:sz="8" w:space="0" w:color="auto"/>
              <w:bottom w:val="single" w:sz="8" w:space="0" w:color="auto"/>
              <w:right w:val="single" w:sz="8" w:space="0" w:color="auto"/>
            </w:tcBorders>
            <w:shd w:val="clear" w:color="auto" w:fill="auto"/>
            <w:vAlign w:val="center"/>
            <w:hideMark/>
          </w:tcPr>
          <w:p w14:paraId="45030919" w14:textId="77777777" w:rsidR="00382C85" w:rsidRPr="00382C85" w:rsidRDefault="00A854D0" w:rsidP="00382C85">
            <w:pPr>
              <w:autoSpaceDE/>
              <w:autoSpaceDN/>
              <w:adjustRightInd/>
              <w:spacing w:after="0"/>
              <w:jc w:val="left"/>
              <w:rPr>
                <w:rFonts w:eastAsia="Times New Roman" w:cs="Arial"/>
                <w:lang w:eastAsia="en-GB"/>
              </w:rPr>
            </w:pPr>
            <w:r w:rsidRPr="00382C85">
              <w:rPr>
                <w:rFonts w:eastAsia="Times New Roman" w:cs="Arial"/>
                <w:lang w:eastAsia="en-GB"/>
              </w:rPr>
              <w:t>Pay &amp; Pensions</w:t>
            </w:r>
          </w:p>
        </w:tc>
        <w:tc>
          <w:tcPr>
            <w:tcW w:w="544" w:type="pct"/>
            <w:tcBorders>
              <w:top w:val="nil"/>
              <w:left w:val="nil"/>
              <w:bottom w:val="single" w:sz="8" w:space="0" w:color="auto"/>
              <w:right w:val="single" w:sz="8" w:space="0" w:color="auto"/>
            </w:tcBorders>
            <w:shd w:val="clear" w:color="auto" w:fill="auto"/>
            <w:vAlign w:val="center"/>
            <w:hideMark/>
          </w:tcPr>
          <w:p w14:paraId="2080D801" w14:textId="77777777" w:rsidR="00382C85" w:rsidRPr="00382C85" w:rsidRDefault="00A854D0" w:rsidP="00382C85">
            <w:pPr>
              <w:autoSpaceDE/>
              <w:autoSpaceDN/>
              <w:adjustRightInd/>
              <w:spacing w:after="0"/>
              <w:jc w:val="right"/>
              <w:rPr>
                <w:rFonts w:eastAsia="Times New Roman" w:cs="Arial"/>
                <w:lang w:eastAsia="en-GB"/>
              </w:rPr>
            </w:pPr>
            <w:r w:rsidRPr="00382C85">
              <w:rPr>
                <w:rFonts w:eastAsia="Times New Roman" w:cs="Arial"/>
                <w:lang w:eastAsia="en-GB"/>
              </w:rPr>
              <w:t>17.139</w:t>
            </w:r>
          </w:p>
        </w:tc>
        <w:tc>
          <w:tcPr>
            <w:tcW w:w="660" w:type="pct"/>
            <w:tcBorders>
              <w:top w:val="nil"/>
              <w:left w:val="nil"/>
              <w:bottom w:val="single" w:sz="8" w:space="0" w:color="auto"/>
              <w:right w:val="single" w:sz="8" w:space="0" w:color="auto"/>
            </w:tcBorders>
            <w:shd w:val="clear" w:color="auto" w:fill="auto"/>
            <w:vAlign w:val="center"/>
            <w:hideMark/>
          </w:tcPr>
          <w:p w14:paraId="09EB62A0" w14:textId="77777777" w:rsidR="00382C85" w:rsidRPr="00382C85" w:rsidRDefault="00A854D0" w:rsidP="00382C85">
            <w:pPr>
              <w:autoSpaceDE/>
              <w:autoSpaceDN/>
              <w:adjustRightInd/>
              <w:spacing w:after="0"/>
              <w:jc w:val="right"/>
              <w:rPr>
                <w:rFonts w:eastAsia="Times New Roman" w:cs="Arial"/>
                <w:lang w:eastAsia="en-GB"/>
              </w:rPr>
            </w:pPr>
            <w:r w:rsidRPr="00382C85">
              <w:rPr>
                <w:rFonts w:eastAsia="Times New Roman" w:cs="Arial"/>
                <w:lang w:eastAsia="en-GB"/>
              </w:rPr>
              <w:t>-0.075</w:t>
            </w:r>
          </w:p>
        </w:tc>
        <w:tc>
          <w:tcPr>
            <w:tcW w:w="544" w:type="pct"/>
            <w:tcBorders>
              <w:top w:val="nil"/>
              <w:left w:val="nil"/>
              <w:bottom w:val="single" w:sz="8" w:space="0" w:color="auto"/>
              <w:right w:val="single" w:sz="8" w:space="0" w:color="auto"/>
            </w:tcBorders>
            <w:shd w:val="clear" w:color="auto" w:fill="auto"/>
            <w:vAlign w:val="center"/>
            <w:hideMark/>
          </w:tcPr>
          <w:p w14:paraId="263359CF" w14:textId="77777777" w:rsidR="00382C85" w:rsidRPr="00382C85" w:rsidRDefault="00A854D0" w:rsidP="00382C85">
            <w:pPr>
              <w:autoSpaceDE/>
              <w:autoSpaceDN/>
              <w:adjustRightInd/>
              <w:spacing w:after="0"/>
              <w:jc w:val="right"/>
              <w:rPr>
                <w:rFonts w:eastAsia="Times New Roman" w:cs="Arial"/>
                <w:lang w:eastAsia="en-GB"/>
              </w:rPr>
            </w:pPr>
            <w:r w:rsidRPr="00382C85">
              <w:rPr>
                <w:rFonts w:eastAsia="Times New Roman" w:cs="Arial"/>
                <w:lang w:eastAsia="en-GB"/>
              </w:rPr>
              <w:t>9.021</w:t>
            </w:r>
          </w:p>
        </w:tc>
        <w:tc>
          <w:tcPr>
            <w:tcW w:w="544" w:type="pct"/>
            <w:tcBorders>
              <w:top w:val="nil"/>
              <w:left w:val="nil"/>
              <w:bottom w:val="single" w:sz="8" w:space="0" w:color="auto"/>
              <w:right w:val="single" w:sz="8" w:space="0" w:color="auto"/>
            </w:tcBorders>
            <w:shd w:val="clear" w:color="auto" w:fill="auto"/>
            <w:vAlign w:val="center"/>
            <w:hideMark/>
          </w:tcPr>
          <w:p w14:paraId="1B093132" w14:textId="77777777" w:rsidR="00382C85" w:rsidRPr="00382C85" w:rsidRDefault="00A854D0" w:rsidP="00382C85">
            <w:pPr>
              <w:autoSpaceDE/>
              <w:autoSpaceDN/>
              <w:adjustRightInd/>
              <w:spacing w:after="0"/>
              <w:jc w:val="right"/>
              <w:rPr>
                <w:rFonts w:eastAsia="Times New Roman" w:cs="Arial"/>
                <w:lang w:eastAsia="en-GB"/>
              </w:rPr>
            </w:pPr>
            <w:r w:rsidRPr="00382C85">
              <w:rPr>
                <w:rFonts w:eastAsia="Times New Roman" w:cs="Arial"/>
                <w:lang w:eastAsia="en-GB"/>
              </w:rPr>
              <w:t>8.988</w:t>
            </w:r>
          </w:p>
        </w:tc>
        <w:tc>
          <w:tcPr>
            <w:tcW w:w="544" w:type="pct"/>
            <w:tcBorders>
              <w:top w:val="nil"/>
              <w:left w:val="nil"/>
              <w:bottom w:val="single" w:sz="8" w:space="0" w:color="auto"/>
              <w:right w:val="single" w:sz="8" w:space="0" w:color="auto"/>
            </w:tcBorders>
            <w:shd w:val="clear" w:color="auto" w:fill="auto"/>
            <w:vAlign w:val="center"/>
            <w:hideMark/>
          </w:tcPr>
          <w:p w14:paraId="4AB0FA38" w14:textId="77777777" w:rsidR="00382C85" w:rsidRPr="00382C85" w:rsidRDefault="00A854D0" w:rsidP="00382C85">
            <w:pPr>
              <w:autoSpaceDE/>
              <w:autoSpaceDN/>
              <w:adjustRightInd/>
              <w:spacing w:after="0"/>
              <w:jc w:val="right"/>
              <w:rPr>
                <w:rFonts w:eastAsia="Times New Roman" w:cs="Arial"/>
                <w:b/>
                <w:bCs/>
                <w:lang w:eastAsia="en-GB"/>
              </w:rPr>
            </w:pPr>
            <w:r w:rsidRPr="00382C85">
              <w:rPr>
                <w:rFonts w:eastAsia="Times New Roman" w:cs="Arial"/>
                <w:b/>
                <w:bCs/>
                <w:lang w:eastAsia="en-GB"/>
              </w:rPr>
              <w:t>35.072</w:t>
            </w:r>
          </w:p>
        </w:tc>
      </w:tr>
      <w:tr w:rsidR="006C72FB" w14:paraId="76B299C6" w14:textId="77777777" w:rsidTr="00C122FC">
        <w:trPr>
          <w:trHeight w:val="315"/>
        </w:trPr>
        <w:tc>
          <w:tcPr>
            <w:tcW w:w="2165" w:type="pct"/>
            <w:tcBorders>
              <w:top w:val="nil"/>
              <w:left w:val="single" w:sz="8" w:space="0" w:color="auto"/>
              <w:bottom w:val="single" w:sz="8" w:space="0" w:color="auto"/>
              <w:right w:val="single" w:sz="8" w:space="0" w:color="auto"/>
            </w:tcBorders>
            <w:shd w:val="clear" w:color="auto" w:fill="auto"/>
            <w:vAlign w:val="center"/>
            <w:hideMark/>
          </w:tcPr>
          <w:p w14:paraId="6CED2817" w14:textId="77777777" w:rsidR="00382C85" w:rsidRPr="00382C85" w:rsidRDefault="00A854D0" w:rsidP="00382C85">
            <w:pPr>
              <w:autoSpaceDE/>
              <w:autoSpaceDN/>
              <w:adjustRightInd/>
              <w:spacing w:after="0"/>
              <w:jc w:val="left"/>
              <w:rPr>
                <w:rFonts w:eastAsia="Times New Roman" w:cs="Arial"/>
                <w:lang w:eastAsia="en-GB"/>
              </w:rPr>
            </w:pPr>
            <w:r w:rsidRPr="00382C85">
              <w:rPr>
                <w:rFonts w:eastAsia="Times New Roman" w:cs="Arial"/>
                <w:lang w:eastAsia="en-GB"/>
              </w:rPr>
              <w:t>Inflation and Cost Changes</w:t>
            </w:r>
          </w:p>
        </w:tc>
        <w:tc>
          <w:tcPr>
            <w:tcW w:w="544" w:type="pct"/>
            <w:tcBorders>
              <w:top w:val="nil"/>
              <w:left w:val="nil"/>
              <w:bottom w:val="single" w:sz="8" w:space="0" w:color="auto"/>
              <w:right w:val="single" w:sz="8" w:space="0" w:color="auto"/>
            </w:tcBorders>
            <w:shd w:val="clear" w:color="auto" w:fill="auto"/>
            <w:vAlign w:val="center"/>
            <w:hideMark/>
          </w:tcPr>
          <w:p w14:paraId="6127D8D7" w14:textId="77777777" w:rsidR="00382C85" w:rsidRPr="00382C85" w:rsidRDefault="00A854D0" w:rsidP="00382C85">
            <w:pPr>
              <w:autoSpaceDE/>
              <w:autoSpaceDN/>
              <w:adjustRightInd/>
              <w:spacing w:after="0"/>
              <w:jc w:val="right"/>
              <w:rPr>
                <w:rFonts w:eastAsia="Times New Roman" w:cs="Arial"/>
                <w:lang w:eastAsia="en-GB"/>
              </w:rPr>
            </w:pPr>
            <w:r w:rsidRPr="00382C85">
              <w:rPr>
                <w:rFonts w:eastAsia="Times New Roman" w:cs="Arial"/>
                <w:lang w:eastAsia="en-GB"/>
              </w:rPr>
              <w:t>17.975</w:t>
            </w:r>
          </w:p>
        </w:tc>
        <w:tc>
          <w:tcPr>
            <w:tcW w:w="660" w:type="pct"/>
            <w:tcBorders>
              <w:top w:val="nil"/>
              <w:left w:val="nil"/>
              <w:bottom w:val="single" w:sz="8" w:space="0" w:color="auto"/>
              <w:right w:val="single" w:sz="8" w:space="0" w:color="auto"/>
            </w:tcBorders>
            <w:shd w:val="clear" w:color="auto" w:fill="auto"/>
            <w:vAlign w:val="center"/>
            <w:hideMark/>
          </w:tcPr>
          <w:p w14:paraId="50B6A2D2" w14:textId="77777777" w:rsidR="00382C85" w:rsidRPr="00382C85" w:rsidRDefault="00A854D0" w:rsidP="00382C85">
            <w:pPr>
              <w:autoSpaceDE/>
              <w:autoSpaceDN/>
              <w:adjustRightInd/>
              <w:spacing w:after="0"/>
              <w:jc w:val="right"/>
              <w:rPr>
                <w:rFonts w:eastAsia="Times New Roman" w:cs="Arial"/>
                <w:lang w:eastAsia="en-GB"/>
              </w:rPr>
            </w:pPr>
            <w:r w:rsidRPr="00382C85">
              <w:rPr>
                <w:rFonts w:eastAsia="Times New Roman" w:cs="Arial"/>
                <w:lang w:eastAsia="en-GB"/>
              </w:rPr>
              <w:t>6.157</w:t>
            </w:r>
          </w:p>
        </w:tc>
        <w:tc>
          <w:tcPr>
            <w:tcW w:w="544" w:type="pct"/>
            <w:tcBorders>
              <w:top w:val="nil"/>
              <w:left w:val="nil"/>
              <w:bottom w:val="single" w:sz="8" w:space="0" w:color="auto"/>
              <w:right w:val="single" w:sz="8" w:space="0" w:color="auto"/>
            </w:tcBorders>
            <w:shd w:val="clear" w:color="auto" w:fill="auto"/>
            <w:vAlign w:val="center"/>
            <w:hideMark/>
          </w:tcPr>
          <w:p w14:paraId="09912FA7" w14:textId="77777777" w:rsidR="00382C85" w:rsidRPr="00382C85" w:rsidRDefault="00A854D0" w:rsidP="00382C85">
            <w:pPr>
              <w:autoSpaceDE/>
              <w:autoSpaceDN/>
              <w:adjustRightInd/>
              <w:spacing w:after="0"/>
              <w:jc w:val="right"/>
              <w:rPr>
                <w:rFonts w:eastAsia="Times New Roman" w:cs="Arial"/>
                <w:lang w:eastAsia="en-GB"/>
              </w:rPr>
            </w:pPr>
            <w:r w:rsidRPr="00382C85">
              <w:rPr>
                <w:rFonts w:eastAsia="Times New Roman" w:cs="Arial"/>
                <w:lang w:eastAsia="en-GB"/>
              </w:rPr>
              <w:t>33.441</w:t>
            </w:r>
          </w:p>
        </w:tc>
        <w:tc>
          <w:tcPr>
            <w:tcW w:w="544" w:type="pct"/>
            <w:tcBorders>
              <w:top w:val="nil"/>
              <w:left w:val="nil"/>
              <w:bottom w:val="single" w:sz="8" w:space="0" w:color="auto"/>
              <w:right w:val="single" w:sz="8" w:space="0" w:color="auto"/>
            </w:tcBorders>
            <w:shd w:val="clear" w:color="auto" w:fill="auto"/>
            <w:vAlign w:val="center"/>
            <w:hideMark/>
          </w:tcPr>
          <w:p w14:paraId="21DDD995" w14:textId="77777777" w:rsidR="00382C85" w:rsidRPr="00382C85" w:rsidRDefault="00A854D0" w:rsidP="00382C85">
            <w:pPr>
              <w:autoSpaceDE/>
              <w:autoSpaceDN/>
              <w:adjustRightInd/>
              <w:spacing w:after="0"/>
              <w:jc w:val="right"/>
              <w:rPr>
                <w:rFonts w:eastAsia="Times New Roman" w:cs="Arial"/>
                <w:lang w:eastAsia="en-GB"/>
              </w:rPr>
            </w:pPr>
            <w:r w:rsidRPr="00382C85">
              <w:rPr>
                <w:rFonts w:eastAsia="Times New Roman" w:cs="Arial"/>
                <w:lang w:eastAsia="en-GB"/>
              </w:rPr>
              <w:t>34.564</w:t>
            </w:r>
          </w:p>
        </w:tc>
        <w:tc>
          <w:tcPr>
            <w:tcW w:w="544" w:type="pct"/>
            <w:tcBorders>
              <w:top w:val="nil"/>
              <w:left w:val="nil"/>
              <w:bottom w:val="single" w:sz="8" w:space="0" w:color="auto"/>
              <w:right w:val="single" w:sz="8" w:space="0" w:color="auto"/>
            </w:tcBorders>
            <w:shd w:val="clear" w:color="auto" w:fill="auto"/>
            <w:vAlign w:val="center"/>
            <w:hideMark/>
          </w:tcPr>
          <w:p w14:paraId="56F100A5" w14:textId="77777777" w:rsidR="00382C85" w:rsidRPr="00382C85" w:rsidRDefault="00A854D0" w:rsidP="00382C85">
            <w:pPr>
              <w:autoSpaceDE/>
              <w:autoSpaceDN/>
              <w:adjustRightInd/>
              <w:spacing w:after="0"/>
              <w:jc w:val="right"/>
              <w:rPr>
                <w:rFonts w:eastAsia="Times New Roman" w:cs="Arial"/>
                <w:b/>
                <w:bCs/>
                <w:lang w:eastAsia="en-GB"/>
              </w:rPr>
            </w:pPr>
            <w:r w:rsidRPr="00382C85">
              <w:rPr>
                <w:rFonts w:eastAsia="Times New Roman" w:cs="Arial"/>
                <w:b/>
                <w:bCs/>
                <w:lang w:eastAsia="en-GB"/>
              </w:rPr>
              <w:t>92.137</w:t>
            </w:r>
          </w:p>
        </w:tc>
      </w:tr>
      <w:tr w:rsidR="006C72FB" w14:paraId="2A81F49F" w14:textId="77777777" w:rsidTr="00C122FC">
        <w:trPr>
          <w:trHeight w:val="315"/>
        </w:trPr>
        <w:tc>
          <w:tcPr>
            <w:tcW w:w="2165" w:type="pct"/>
            <w:tcBorders>
              <w:top w:val="nil"/>
              <w:left w:val="single" w:sz="8" w:space="0" w:color="auto"/>
              <w:bottom w:val="single" w:sz="8" w:space="0" w:color="auto"/>
              <w:right w:val="single" w:sz="8" w:space="0" w:color="auto"/>
            </w:tcBorders>
            <w:shd w:val="clear" w:color="auto" w:fill="auto"/>
            <w:vAlign w:val="center"/>
            <w:hideMark/>
          </w:tcPr>
          <w:p w14:paraId="3CC226FC" w14:textId="77777777" w:rsidR="00382C85" w:rsidRPr="00382C85" w:rsidRDefault="00A854D0" w:rsidP="00382C85">
            <w:pPr>
              <w:autoSpaceDE/>
              <w:autoSpaceDN/>
              <w:adjustRightInd/>
              <w:spacing w:after="0"/>
              <w:jc w:val="left"/>
              <w:rPr>
                <w:rFonts w:eastAsia="Times New Roman" w:cs="Arial"/>
                <w:lang w:eastAsia="en-GB"/>
              </w:rPr>
            </w:pPr>
            <w:r w:rsidRPr="00382C85">
              <w:rPr>
                <w:rFonts w:eastAsia="Times New Roman" w:cs="Arial"/>
                <w:lang w:eastAsia="en-GB"/>
              </w:rPr>
              <w:t>Service Demand and Volume Pressures</w:t>
            </w:r>
          </w:p>
        </w:tc>
        <w:tc>
          <w:tcPr>
            <w:tcW w:w="544" w:type="pct"/>
            <w:tcBorders>
              <w:top w:val="nil"/>
              <w:left w:val="nil"/>
              <w:bottom w:val="single" w:sz="8" w:space="0" w:color="auto"/>
              <w:right w:val="single" w:sz="8" w:space="0" w:color="auto"/>
            </w:tcBorders>
            <w:shd w:val="clear" w:color="auto" w:fill="auto"/>
            <w:vAlign w:val="center"/>
            <w:hideMark/>
          </w:tcPr>
          <w:p w14:paraId="7F5E544E" w14:textId="77777777" w:rsidR="00382C85" w:rsidRPr="00382C85" w:rsidRDefault="00A854D0" w:rsidP="00382C85">
            <w:pPr>
              <w:autoSpaceDE/>
              <w:autoSpaceDN/>
              <w:adjustRightInd/>
              <w:spacing w:after="0"/>
              <w:jc w:val="right"/>
              <w:rPr>
                <w:rFonts w:eastAsia="Times New Roman" w:cs="Arial"/>
                <w:lang w:eastAsia="en-GB"/>
              </w:rPr>
            </w:pPr>
            <w:r w:rsidRPr="00382C85">
              <w:rPr>
                <w:rFonts w:eastAsia="Times New Roman" w:cs="Arial"/>
                <w:lang w:eastAsia="en-GB"/>
              </w:rPr>
              <w:t>18.049</w:t>
            </w:r>
          </w:p>
        </w:tc>
        <w:tc>
          <w:tcPr>
            <w:tcW w:w="660" w:type="pct"/>
            <w:tcBorders>
              <w:top w:val="nil"/>
              <w:left w:val="nil"/>
              <w:bottom w:val="single" w:sz="8" w:space="0" w:color="auto"/>
              <w:right w:val="single" w:sz="8" w:space="0" w:color="auto"/>
            </w:tcBorders>
            <w:shd w:val="clear" w:color="auto" w:fill="auto"/>
            <w:vAlign w:val="center"/>
            <w:hideMark/>
          </w:tcPr>
          <w:p w14:paraId="60D52E78" w14:textId="77777777" w:rsidR="00382C85" w:rsidRPr="00382C85" w:rsidRDefault="00A854D0" w:rsidP="00382C85">
            <w:pPr>
              <w:autoSpaceDE/>
              <w:autoSpaceDN/>
              <w:adjustRightInd/>
              <w:spacing w:after="0"/>
              <w:jc w:val="right"/>
              <w:rPr>
                <w:rFonts w:eastAsia="Times New Roman" w:cs="Arial"/>
                <w:lang w:eastAsia="en-GB"/>
              </w:rPr>
            </w:pPr>
            <w:r w:rsidRPr="00382C85">
              <w:rPr>
                <w:rFonts w:eastAsia="Times New Roman" w:cs="Arial"/>
                <w:lang w:eastAsia="en-GB"/>
              </w:rPr>
              <w:t>5.169</w:t>
            </w:r>
          </w:p>
        </w:tc>
        <w:tc>
          <w:tcPr>
            <w:tcW w:w="544" w:type="pct"/>
            <w:tcBorders>
              <w:top w:val="nil"/>
              <w:left w:val="nil"/>
              <w:bottom w:val="single" w:sz="8" w:space="0" w:color="auto"/>
              <w:right w:val="single" w:sz="8" w:space="0" w:color="auto"/>
            </w:tcBorders>
            <w:shd w:val="clear" w:color="auto" w:fill="auto"/>
            <w:vAlign w:val="center"/>
            <w:hideMark/>
          </w:tcPr>
          <w:p w14:paraId="6D648E6D" w14:textId="77777777" w:rsidR="00382C85" w:rsidRPr="00382C85" w:rsidRDefault="00A854D0" w:rsidP="00382C85">
            <w:pPr>
              <w:autoSpaceDE/>
              <w:autoSpaceDN/>
              <w:adjustRightInd/>
              <w:spacing w:after="0"/>
              <w:jc w:val="right"/>
              <w:rPr>
                <w:rFonts w:eastAsia="Times New Roman" w:cs="Arial"/>
                <w:lang w:eastAsia="en-GB"/>
              </w:rPr>
            </w:pPr>
            <w:r w:rsidRPr="00382C85">
              <w:rPr>
                <w:rFonts w:eastAsia="Times New Roman" w:cs="Arial"/>
                <w:lang w:eastAsia="en-GB"/>
              </w:rPr>
              <w:t>13.828</w:t>
            </w:r>
          </w:p>
        </w:tc>
        <w:tc>
          <w:tcPr>
            <w:tcW w:w="544" w:type="pct"/>
            <w:tcBorders>
              <w:top w:val="nil"/>
              <w:left w:val="nil"/>
              <w:bottom w:val="single" w:sz="8" w:space="0" w:color="auto"/>
              <w:right w:val="single" w:sz="8" w:space="0" w:color="auto"/>
            </w:tcBorders>
            <w:shd w:val="clear" w:color="auto" w:fill="auto"/>
            <w:vAlign w:val="center"/>
            <w:hideMark/>
          </w:tcPr>
          <w:p w14:paraId="45B8EDD3" w14:textId="77777777" w:rsidR="00382C85" w:rsidRPr="00382C85" w:rsidRDefault="00A854D0" w:rsidP="00382C85">
            <w:pPr>
              <w:autoSpaceDE/>
              <w:autoSpaceDN/>
              <w:adjustRightInd/>
              <w:spacing w:after="0"/>
              <w:jc w:val="right"/>
              <w:rPr>
                <w:rFonts w:eastAsia="Times New Roman" w:cs="Arial"/>
                <w:lang w:eastAsia="en-GB"/>
              </w:rPr>
            </w:pPr>
            <w:r w:rsidRPr="00382C85">
              <w:rPr>
                <w:rFonts w:eastAsia="Times New Roman" w:cs="Arial"/>
                <w:lang w:eastAsia="en-GB"/>
              </w:rPr>
              <w:t>14.634</w:t>
            </w:r>
          </w:p>
        </w:tc>
        <w:tc>
          <w:tcPr>
            <w:tcW w:w="544" w:type="pct"/>
            <w:tcBorders>
              <w:top w:val="nil"/>
              <w:left w:val="nil"/>
              <w:bottom w:val="single" w:sz="8" w:space="0" w:color="auto"/>
              <w:right w:val="single" w:sz="8" w:space="0" w:color="auto"/>
            </w:tcBorders>
            <w:shd w:val="clear" w:color="auto" w:fill="auto"/>
            <w:vAlign w:val="center"/>
            <w:hideMark/>
          </w:tcPr>
          <w:p w14:paraId="628885CD" w14:textId="77777777" w:rsidR="00382C85" w:rsidRPr="00382C85" w:rsidRDefault="00A854D0" w:rsidP="00382C85">
            <w:pPr>
              <w:autoSpaceDE/>
              <w:autoSpaceDN/>
              <w:adjustRightInd/>
              <w:spacing w:after="0"/>
              <w:jc w:val="right"/>
              <w:rPr>
                <w:rFonts w:eastAsia="Times New Roman" w:cs="Arial"/>
                <w:b/>
                <w:bCs/>
                <w:lang w:eastAsia="en-GB"/>
              </w:rPr>
            </w:pPr>
            <w:r w:rsidRPr="00382C85">
              <w:rPr>
                <w:rFonts w:eastAsia="Times New Roman" w:cs="Arial"/>
                <w:b/>
                <w:bCs/>
                <w:lang w:eastAsia="en-GB"/>
              </w:rPr>
              <w:t>51.680</w:t>
            </w:r>
          </w:p>
        </w:tc>
      </w:tr>
      <w:tr w:rsidR="006C72FB" w14:paraId="1EE28C35" w14:textId="77777777" w:rsidTr="00C122FC">
        <w:trPr>
          <w:trHeight w:val="315"/>
        </w:trPr>
        <w:tc>
          <w:tcPr>
            <w:tcW w:w="2165" w:type="pct"/>
            <w:tcBorders>
              <w:top w:val="nil"/>
              <w:left w:val="single" w:sz="8" w:space="0" w:color="auto"/>
              <w:bottom w:val="single" w:sz="8" w:space="0" w:color="auto"/>
              <w:right w:val="single" w:sz="8" w:space="0" w:color="auto"/>
            </w:tcBorders>
            <w:shd w:val="clear" w:color="auto" w:fill="auto"/>
            <w:vAlign w:val="center"/>
            <w:hideMark/>
          </w:tcPr>
          <w:p w14:paraId="569247DC" w14:textId="77777777" w:rsidR="00382C85" w:rsidRPr="00382C85" w:rsidRDefault="00A854D0" w:rsidP="00382C85">
            <w:pPr>
              <w:autoSpaceDE/>
              <w:autoSpaceDN/>
              <w:adjustRightInd/>
              <w:spacing w:after="0"/>
              <w:jc w:val="left"/>
              <w:rPr>
                <w:rFonts w:eastAsia="Times New Roman" w:cs="Arial"/>
                <w:lang w:eastAsia="en-GB"/>
              </w:rPr>
            </w:pPr>
            <w:r w:rsidRPr="00382C85">
              <w:rPr>
                <w:rFonts w:eastAsia="Times New Roman" w:cs="Arial"/>
                <w:lang w:eastAsia="en-GB"/>
              </w:rPr>
              <w:t>Other</w:t>
            </w:r>
          </w:p>
        </w:tc>
        <w:tc>
          <w:tcPr>
            <w:tcW w:w="544" w:type="pct"/>
            <w:tcBorders>
              <w:top w:val="nil"/>
              <w:left w:val="nil"/>
              <w:bottom w:val="single" w:sz="8" w:space="0" w:color="auto"/>
              <w:right w:val="single" w:sz="8" w:space="0" w:color="auto"/>
            </w:tcBorders>
            <w:shd w:val="clear" w:color="auto" w:fill="auto"/>
            <w:vAlign w:val="center"/>
            <w:hideMark/>
          </w:tcPr>
          <w:p w14:paraId="44DBA36E" w14:textId="77777777" w:rsidR="00382C85" w:rsidRPr="00382C85" w:rsidRDefault="00A854D0" w:rsidP="00382C85">
            <w:pPr>
              <w:autoSpaceDE/>
              <w:autoSpaceDN/>
              <w:adjustRightInd/>
              <w:spacing w:after="0"/>
              <w:jc w:val="right"/>
              <w:rPr>
                <w:rFonts w:eastAsia="Times New Roman" w:cs="Arial"/>
                <w:lang w:eastAsia="en-GB"/>
              </w:rPr>
            </w:pPr>
            <w:r w:rsidRPr="00382C85">
              <w:rPr>
                <w:rFonts w:eastAsia="Times New Roman" w:cs="Arial"/>
                <w:lang w:eastAsia="en-GB"/>
              </w:rPr>
              <w:t>13.095</w:t>
            </w:r>
          </w:p>
        </w:tc>
        <w:tc>
          <w:tcPr>
            <w:tcW w:w="660" w:type="pct"/>
            <w:tcBorders>
              <w:top w:val="nil"/>
              <w:left w:val="nil"/>
              <w:bottom w:val="single" w:sz="8" w:space="0" w:color="auto"/>
              <w:right w:val="single" w:sz="8" w:space="0" w:color="auto"/>
            </w:tcBorders>
            <w:shd w:val="clear" w:color="auto" w:fill="auto"/>
            <w:vAlign w:val="center"/>
            <w:hideMark/>
          </w:tcPr>
          <w:p w14:paraId="39198B01" w14:textId="77777777" w:rsidR="00382C85" w:rsidRPr="00382C85" w:rsidRDefault="00A854D0" w:rsidP="00382C85">
            <w:pPr>
              <w:autoSpaceDE/>
              <w:autoSpaceDN/>
              <w:adjustRightInd/>
              <w:spacing w:after="0"/>
              <w:jc w:val="right"/>
              <w:rPr>
                <w:rFonts w:eastAsia="Times New Roman" w:cs="Arial"/>
                <w:lang w:eastAsia="en-GB"/>
              </w:rPr>
            </w:pPr>
            <w:r w:rsidRPr="00382C85">
              <w:rPr>
                <w:rFonts w:eastAsia="Times New Roman" w:cs="Arial"/>
                <w:lang w:eastAsia="en-GB"/>
              </w:rPr>
              <w:t>3.668</w:t>
            </w:r>
          </w:p>
        </w:tc>
        <w:tc>
          <w:tcPr>
            <w:tcW w:w="544" w:type="pct"/>
            <w:tcBorders>
              <w:top w:val="nil"/>
              <w:left w:val="nil"/>
              <w:bottom w:val="single" w:sz="8" w:space="0" w:color="auto"/>
              <w:right w:val="single" w:sz="8" w:space="0" w:color="auto"/>
            </w:tcBorders>
            <w:shd w:val="clear" w:color="auto" w:fill="auto"/>
            <w:vAlign w:val="center"/>
            <w:hideMark/>
          </w:tcPr>
          <w:p w14:paraId="23F66940" w14:textId="77777777" w:rsidR="00382C85" w:rsidRPr="00382C85" w:rsidRDefault="00A854D0" w:rsidP="00382C85">
            <w:pPr>
              <w:autoSpaceDE/>
              <w:autoSpaceDN/>
              <w:adjustRightInd/>
              <w:spacing w:after="0"/>
              <w:jc w:val="right"/>
              <w:rPr>
                <w:rFonts w:eastAsia="Times New Roman" w:cs="Arial"/>
                <w:lang w:eastAsia="en-GB"/>
              </w:rPr>
            </w:pPr>
            <w:r w:rsidRPr="00382C85">
              <w:rPr>
                <w:rFonts w:eastAsia="Times New Roman" w:cs="Arial"/>
                <w:lang w:eastAsia="en-GB"/>
              </w:rPr>
              <w:t>4.180</w:t>
            </w:r>
          </w:p>
        </w:tc>
        <w:tc>
          <w:tcPr>
            <w:tcW w:w="544" w:type="pct"/>
            <w:tcBorders>
              <w:top w:val="nil"/>
              <w:left w:val="nil"/>
              <w:bottom w:val="single" w:sz="8" w:space="0" w:color="auto"/>
              <w:right w:val="single" w:sz="8" w:space="0" w:color="auto"/>
            </w:tcBorders>
            <w:shd w:val="clear" w:color="auto" w:fill="auto"/>
            <w:vAlign w:val="center"/>
            <w:hideMark/>
          </w:tcPr>
          <w:p w14:paraId="3F308575" w14:textId="77777777" w:rsidR="00382C85" w:rsidRPr="00382C85" w:rsidRDefault="00A854D0" w:rsidP="00382C85">
            <w:pPr>
              <w:autoSpaceDE/>
              <w:autoSpaceDN/>
              <w:adjustRightInd/>
              <w:spacing w:after="0"/>
              <w:jc w:val="right"/>
              <w:rPr>
                <w:rFonts w:eastAsia="Times New Roman" w:cs="Arial"/>
                <w:lang w:eastAsia="en-GB"/>
              </w:rPr>
            </w:pPr>
            <w:r w:rsidRPr="00382C85">
              <w:rPr>
                <w:rFonts w:eastAsia="Times New Roman" w:cs="Arial"/>
                <w:lang w:eastAsia="en-GB"/>
              </w:rPr>
              <w:t>0.463</w:t>
            </w:r>
          </w:p>
        </w:tc>
        <w:tc>
          <w:tcPr>
            <w:tcW w:w="544" w:type="pct"/>
            <w:tcBorders>
              <w:top w:val="nil"/>
              <w:left w:val="nil"/>
              <w:bottom w:val="single" w:sz="8" w:space="0" w:color="auto"/>
              <w:right w:val="single" w:sz="8" w:space="0" w:color="auto"/>
            </w:tcBorders>
            <w:shd w:val="clear" w:color="auto" w:fill="auto"/>
            <w:vAlign w:val="center"/>
            <w:hideMark/>
          </w:tcPr>
          <w:p w14:paraId="437C9EBD" w14:textId="77777777" w:rsidR="00382C85" w:rsidRPr="00382C85" w:rsidRDefault="00A854D0" w:rsidP="00382C85">
            <w:pPr>
              <w:autoSpaceDE/>
              <w:autoSpaceDN/>
              <w:adjustRightInd/>
              <w:spacing w:after="0"/>
              <w:jc w:val="right"/>
              <w:rPr>
                <w:rFonts w:eastAsia="Times New Roman" w:cs="Arial"/>
                <w:b/>
                <w:bCs/>
                <w:lang w:eastAsia="en-GB"/>
              </w:rPr>
            </w:pPr>
            <w:r w:rsidRPr="00382C85">
              <w:rPr>
                <w:rFonts w:eastAsia="Times New Roman" w:cs="Arial"/>
                <w:b/>
                <w:bCs/>
                <w:lang w:eastAsia="en-GB"/>
              </w:rPr>
              <w:t>21.406</w:t>
            </w:r>
          </w:p>
        </w:tc>
      </w:tr>
      <w:tr w:rsidR="006C72FB" w14:paraId="76841BEF" w14:textId="77777777" w:rsidTr="00C122FC">
        <w:trPr>
          <w:trHeight w:val="315"/>
        </w:trPr>
        <w:tc>
          <w:tcPr>
            <w:tcW w:w="2165" w:type="pct"/>
            <w:tcBorders>
              <w:top w:val="nil"/>
              <w:left w:val="single" w:sz="8" w:space="0" w:color="auto"/>
              <w:bottom w:val="single" w:sz="8" w:space="0" w:color="auto"/>
              <w:right w:val="single" w:sz="8" w:space="0" w:color="auto"/>
            </w:tcBorders>
            <w:shd w:val="clear" w:color="auto" w:fill="auto"/>
            <w:vAlign w:val="center"/>
            <w:hideMark/>
          </w:tcPr>
          <w:p w14:paraId="74299508" w14:textId="77777777" w:rsidR="00382C85" w:rsidRPr="00382C85" w:rsidRDefault="00A854D0" w:rsidP="00382C85">
            <w:pPr>
              <w:autoSpaceDE/>
              <w:autoSpaceDN/>
              <w:adjustRightInd/>
              <w:spacing w:after="0"/>
              <w:jc w:val="left"/>
              <w:rPr>
                <w:rFonts w:eastAsia="Times New Roman" w:cs="Arial"/>
                <w:color w:val="auto"/>
                <w:lang w:eastAsia="en-GB"/>
              </w:rPr>
            </w:pPr>
            <w:r w:rsidRPr="00382C85">
              <w:rPr>
                <w:rFonts w:eastAsia="Times New Roman" w:cs="Arial"/>
                <w:color w:val="auto"/>
                <w:lang w:eastAsia="en-GB"/>
              </w:rPr>
              <w:t>Reprofiled Savings</w:t>
            </w:r>
          </w:p>
        </w:tc>
        <w:tc>
          <w:tcPr>
            <w:tcW w:w="544" w:type="pct"/>
            <w:tcBorders>
              <w:top w:val="nil"/>
              <w:left w:val="nil"/>
              <w:bottom w:val="single" w:sz="8" w:space="0" w:color="auto"/>
              <w:right w:val="single" w:sz="8" w:space="0" w:color="auto"/>
            </w:tcBorders>
            <w:shd w:val="clear" w:color="auto" w:fill="auto"/>
            <w:vAlign w:val="center"/>
            <w:hideMark/>
          </w:tcPr>
          <w:p w14:paraId="7A47548E" w14:textId="77777777" w:rsidR="00382C85" w:rsidRPr="00382C85" w:rsidRDefault="00A854D0" w:rsidP="00382C85">
            <w:pPr>
              <w:autoSpaceDE/>
              <w:autoSpaceDN/>
              <w:adjustRightInd/>
              <w:spacing w:after="0"/>
              <w:jc w:val="right"/>
              <w:rPr>
                <w:rFonts w:eastAsia="Times New Roman" w:cs="Arial"/>
                <w:lang w:eastAsia="en-GB"/>
              </w:rPr>
            </w:pPr>
            <w:r w:rsidRPr="00382C85">
              <w:rPr>
                <w:rFonts w:eastAsia="Times New Roman" w:cs="Arial"/>
                <w:lang w:eastAsia="en-GB"/>
              </w:rPr>
              <w:t>0.000</w:t>
            </w:r>
          </w:p>
        </w:tc>
        <w:tc>
          <w:tcPr>
            <w:tcW w:w="660" w:type="pct"/>
            <w:tcBorders>
              <w:top w:val="nil"/>
              <w:left w:val="nil"/>
              <w:bottom w:val="single" w:sz="8" w:space="0" w:color="auto"/>
              <w:right w:val="single" w:sz="8" w:space="0" w:color="auto"/>
            </w:tcBorders>
            <w:shd w:val="clear" w:color="auto" w:fill="auto"/>
            <w:vAlign w:val="center"/>
            <w:hideMark/>
          </w:tcPr>
          <w:p w14:paraId="1D83C725" w14:textId="77777777" w:rsidR="00382C85" w:rsidRPr="00382C85" w:rsidRDefault="00A854D0" w:rsidP="00382C85">
            <w:pPr>
              <w:autoSpaceDE/>
              <w:autoSpaceDN/>
              <w:adjustRightInd/>
              <w:spacing w:after="0"/>
              <w:jc w:val="right"/>
              <w:rPr>
                <w:rFonts w:eastAsia="Times New Roman" w:cs="Arial"/>
                <w:lang w:eastAsia="en-GB"/>
              </w:rPr>
            </w:pPr>
            <w:r w:rsidRPr="00382C85">
              <w:rPr>
                <w:rFonts w:eastAsia="Times New Roman" w:cs="Arial"/>
                <w:lang w:eastAsia="en-GB"/>
              </w:rPr>
              <w:t>0.000</w:t>
            </w:r>
          </w:p>
        </w:tc>
        <w:tc>
          <w:tcPr>
            <w:tcW w:w="544" w:type="pct"/>
            <w:tcBorders>
              <w:top w:val="nil"/>
              <w:left w:val="nil"/>
              <w:bottom w:val="single" w:sz="8" w:space="0" w:color="auto"/>
              <w:right w:val="single" w:sz="8" w:space="0" w:color="auto"/>
            </w:tcBorders>
            <w:shd w:val="clear" w:color="auto" w:fill="auto"/>
            <w:vAlign w:val="center"/>
            <w:hideMark/>
          </w:tcPr>
          <w:p w14:paraId="637B9E25" w14:textId="77777777" w:rsidR="00382C85" w:rsidRPr="00382C85" w:rsidRDefault="00A854D0" w:rsidP="00382C85">
            <w:pPr>
              <w:autoSpaceDE/>
              <w:autoSpaceDN/>
              <w:adjustRightInd/>
              <w:spacing w:after="0"/>
              <w:jc w:val="right"/>
              <w:rPr>
                <w:rFonts w:eastAsia="Times New Roman" w:cs="Arial"/>
                <w:lang w:eastAsia="en-GB"/>
              </w:rPr>
            </w:pPr>
            <w:r w:rsidRPr="00382C85">
              <w:rPr>
                <w:rFonts w:eastAsia="Times New Roman" w:cs="Arial"/>
                <w:lang w:eastAsia="en-GB"/>
              </w:rPr>
              <w:t>-1.239</w:t>
            </w:r>
          </w:p>
        </w:tc>
        <w:tc>
          <w:tcPr>
            <w:tcW w:w="544" w:type="pct"/>
            <w:tcBorders>
              <w:top w:val="nil"/>
              <w:left w:val="nil"/>
              <w:bottom w:val="single" w:sz="8" w:space="0" w:color="auto"/>
              <w:right w:val="single" w:sz="8" w:space="0" w:color="auto"/>
            </w:tcBorders>
            <w:shd w:val="clear" w:color="auto" w:fill="auto"/>
            <w:vAlign w:val="center"/>
            <w:hideMark/>
          </w:tcPr>
          <w:p w14:paraId="186EEB21" w14:textId="77777777" w:rsidR="00382C85" w:rsidRPr="00382C85" w:rsidRDefault="00A854D0" w:rsidP="00382C85">
            <w:pPr>
              <w:autoSpaceDE/>
              <w:autoSpaceDN/>
              <w:adjustRightInd/>
              <w:spacing w:after="0"/>
              <w:jc w:val="right"/>
              <w:rPr>
                <w:rFonts w:eastAsia="Times New Roman" w:cs="Arial"/>
                <w:lang w:eastAsia="en-GB"/>
              </w:rPr>
            </w:pPr>
            <w:r w:rsidRPr="00382C85">
              <w:rPr>
                <w:rFonts w:eastAsia="Times New Roman" w:cs="Arial"/>
                <w:lang w:eastAsia="en-GB"/>
              </w:rPr>
              <w:t>-1.084</w:t>
            </w:r>
          </w:p>
        </w:tc>
        <w:tc>
          <w:tcPr>
            <w:tcW w:w="544" w:type="pct"/>
            <w:tcBorders>
              <w:top w:val="nil"/>
              <w:left w:val="nil"/>
              <w:bottom w:val="single" w:sz="8" w:space="0" w:color="auto"/>
              <w:right w:val="single" w:sz="8" w:space="0" w:color="auto"/>
            </w:tcBorders>
            <w:shd w:val="clear" w:color="auto" w:fill="auto"/>
            <w:vAlign w:val="center"/>
            <w:hideMark/>
          </w:tcPr>
          <w:p w14:paraId="723F03DD" w14:textId="77777777" w:rsidR="00382C85" w:rsidRPr="00382C85" w:rsidRDefault="00A854D0" w:rsidP="00382C85">
            <w:pPr>
              <w:autoSpaceDE/>
              <w:autoSpaceDN/>
              <w:adjustRightInd/>
              <w:spacing w:after="0"/>
              <w:jc w:val="right"/>
              <w:rPr>
                <w:rFonts w:eastAsia="Times New Roman" w:cs="Arial"/>
                <w:b/>
                <w:bCs/>
                <w:lang w:eastAsia="en-GB"/>
              </w:rPr>
            </w:pPr>
            <w:r w:rsidRPr="00382C85">
              <w:rPr>
                <w:rFonts w:eastAsia="Times New Roman" w:cs="Arial"/>
                <w:b/>
                <w:bCs/>
                <w:lang w:eastAsia="en-GB"/>
              </w:rPr>
              <w:t>-2.323</w:t>
            </w:r>
          </w:p>
        </w:tc>
      </w:tr>
      <w:tr w:rsidR="006C72FB" w14:paraId="6C113080" w14:textId="77777777" w:rsidTr="0B86641D">
        <w:trPr>
          <w:trHeight w:val="585"/>
        </w:trPr>
        <w:tc>
          <w:tcPr>
            <w:tcW w:w="2165"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45309A55" w14:textId="77777777" w:rsidR="00382C85" w:rsidRPr="00382C85" w:rsidRDefault="00A854D0" w:rsidP="00382C85">
            <w:pPr>
              <w:autoSpaceDE/>
              <w:autoSpaceDN/>
              <w:adjustRightInd/>
              <w:spacing w:after="0"/>
              <w:jc w:val="left"/>
              <w:rPr>
                <w:rFonts w:eastAsia="Times New Roman" w:cs="Arial"/>
                <w:b/>
                <w:bCs/>
                <w:lang w:eastAsia="en-GB"/>
              </w:rPr>
            </w:pPr>
            <w:r w:rsidRPr="00382C85">
              <w:rPr>
                <w:rFonts w:eastAsia="Times New Roman" w:cs="Arial"/>
                <w:b/>
                <w:bCs/>
                <w:lang w:eastAsia="en-GB"/>
              </w:rPr>
              <w:t>Total Change to Forecast of Spending</w:t>
            </w:r>
          </w:p>
        </w:tc>
        <w:tc>
          <w:tcPr>
            <w:tcW w:w="544" w:type="pct"/>
            <w:tcBorders>
              <w:top w:val="nil"/>
              <w:left w:val="nil"/>
              <w:bottom w:val="single" w:sz="8" w:space="0" w:color="auto"/>
              <w:right w:val="single" w:sz="8" w:space="0" w:color="auto"/>
            </w:tcBorders>
            <w:shd w:val="clear" w:color="auto" w:fill="D9D9D9" w:themeFill="background1" w:themeFillShade="D9"/>
            <w:vAlign w:val="center"/>
            <w:hideMark/>
          </w:tcPr>
          <w:p w14:paraId="749D881E" w14:textId="77777777" w:rsidR="00382C85" w:rsidRPr="00382C85" w:rsidRDefault="00A854D0" w:rsidP="00382C85">
            <w:pPr>
              <w:autoSpaceDE/>
              <w:autoSpaceDN/>
              <w:adjustRightInd/>
              <w:spacing w:after="0"/>
              <w:jc w:val="right"/>
              <w:rPr>
                <w:rFonts w:eastAsia="Times New Roman" w:cs="Arial"/>
                <w:b/>
                <w:bCs/>
                <w:lang w:eastAsia="en-GB"/>
              </w:rPr>
            </w:pPr>
            <w:r w:rsidRPr="00382C85">
              <w:rPr>
                <w:rFonts w:eastAsia="Times New Roman" w:cs="Arial"/>
                <w:b/>
                <w:bCs/>
                <w:lang w:eastAsia="en-GB"/>
              </w:rPr>
              <w:t>66.258</w:t>
            </w:r>
          </w:p>
        </w:tc>
        <w:tc>
          <w:tcPr>
            <w:tcW w:w="660" w:type="pct"/>
            <w:tcBorders>
              <w:top w:val="nil"/>
              <w:left w:val="nil"/>
              <w:bottom w:val="single" w:sz="8" w:space="0" w:color="auto"/>
              <w:right w:val="single" w:sz="8" w:space="0" w:color="auto"/>
            </w:tcBorders>
            <w:shd w:val="clear" w:color="auto" w:fill="D9D9D9" w:themeFill="background1" w:themeFillShade="D9"/>
            <w:vAlign w:val="center"/>
            <w:hideMark/>
          </w:tcPr>
          <w:p w14:paraId="5A7BCD8D" w14:textId="77777777" w:rsidR="00382C85" w:rsidRPr="00382C85" w:rsidRDefault="00A854D0" w:rsidP="00382C85">
            <w:pPr>
              <w:autoSpaceDE/>
              <w:autoSpaceDN/>
              <w:adjustRightInd/>
              <w:spacing w:after="0"/>
              <w:jc w:val="right"/>
              <w:rPr>
                <w:rFonts w:eastAsia="Times New Roman" w:cs="Arial"/>
                <w:b/>
                <w:bCs/>
                <w:lang w:eastAsia="en-GB"/>
              </w:rPr>
            </w:pPr>
            <w:r w:rsidRPr="00382C85">
              <w:rPr>
                <w:rFonts w:eastAsia="Times New Roman" w:cs="Arial"/>
                <w:b/>
                <w:bCs/>
                <w:lang w:eastAsia="en-GB"/>
              </w:rPr>
              <w:t>14.919</w:t>
            </w:r>
          </w:p>
        </w:tc>
        <w:tc>
          <w:tcPr>
            <w:tcW w:w="544" w:type="pct"/>
            <w:tcBorders>
              <w:top w:val="nil"/>
              <w:left w:val="nil"/>
              <w:bottom w:val="single" w:sz="8" w:space="0" w:color="auto"/>
              <w:right w:val="single" w:sz="8" w:space="0" w:color="auto"/>
            </w:tcBorders>
            <w:shd w:val="clear" w:color="auto" w:fill="D9D9D9" w:themeFill="background1" w:themeFillShade="D9"/>
            <w:vAlign w:val="center"/>
            <w:hideMark/>
          </w:tcPr>
          <w:p w14:paraId="5A896E5E" w14:textId="77777777" w:rsidR="00382C85" w:rsidRPr="00382C85" w:rsidRDefault="00A854D0" w:rsidP="00382C85">
            <w:pPr>
              <w:autoSpaceDE/>
              <w:autoSpaceDN/>
              <w:adjustRightInd/>
              <w:spacing w:after="0"/>
              <w:jc w:val="right"/>
              <w:rPr>
                <w:rFonts w:eastAsia="Times New Roman" w:cs="Arial"/>
                <w:b/>
                <w:bCs/>
                <w:lang w:eastAsia="en-GB"/>
              </w:rPr>
            </w:pPr>
            <w:r w:rsidRPr="00382C85">
              <w:rPr>
                <w:rFonts w:eastAsia="Times New Roman" w:cs="Arial"/>
                <w:b/>
                <w:bCs/>
                <w:lang w:eastAsia="en-GB"/>
              </w:rPr>
              <w:t>59.231</w:t>
            </w:r>
          </w:p>
        </w:tc>
        <w:tc>
          <w:tcPr>
            <w:tcW w:w="544" w:type="pct"/>
            <w:tcBorders>
              <w:top w:val="nil"/>
              <w:left w:val="nil"/>
              <w:bottom w:val="single" w:sz="8" w:space="0" w:color="auto"/>
              <w:right w:val="single" w:sz="8" w:space="0" w:color="auto"/>
            </w:tcBorders>
            <w:shd w:val="clear" w:color="auto" w:fill="D9D9D9" w:themeFill="background1" w:themeFillShade="D9"/>
            <w:vAlign w:val="center"/>
            <w:hideMark/>
          </w:tcPr>
          <w:p w14:paraId="655BE550" w14:textId="77777777" w:rsidR="00382C85" w:rsidRPr="00382C85" w:rsidRDefault="00A854D0" w:rsidP="00382C85">
            <w:pPr>
              <w:autoSpaceDE/>
              <w:autoSpaceDN/>
              <w:adjustRightInd/>
              <w:spacing w:after="0"/>
              <w:jc w:val="right"/>
              <w:rPr>
                <w:rFonts w:eastAsia="Times New Roman" w:cs="Arial"/>
                <w:b/>
                <w:bCs/>
                <w:lang w:eastAsia="en-GB"/>
              </w:rPr>
            </w:pPr>
            <w:r w:rsidRPr="00382C85">
              <w:rPr>
                <w:rFonts w:eastAsia="Times New Roman" w:cs="Arial"/>
                <w:b/>
                <w:bCs/>
                <w:lang w:eastAsia="en-GB"/>
              </w:rPr>
              <w:t>57.565</w:t>
            </w:r>
          </w:p>
        </w:tc>
        <w:tc>
          <w:tcPr>
            <w:tcW w:w="544" w:type="pct"/>
            <w:tcBorders>
              <w:top w:val="nil"/>
              <w:left w:val="nil"/>
              <w:bottom w:val="single" w:sz="8" w:space="0" w:color="auto"/>
              <w:right w:val="single" w:sz="8" w:space="0" w:color="auto"/>
            </w:tcBorders>
            <w:shd w:val="clear" w:color="auto" w:fill="D9D9D9" w:themeFill="background1" w:themeFillShade="D9"/>
            <w:vAlign w:val="center"/>
            <w:hideMark/>
          </w:tcPr>
          <w:p w14:paraId="11790DC0" w14:textId="77777777" w:rsidR="00382C85" w:rsidRPr="00382C85" w:rsidRDefault="00A854D0" w:rsidP="00382C85">
            <w:pPr>
              <w:autoSpaceDE/>
              <w:autoSpaceDN/>
              <w:adjustRightInd/>
              <w:spacing w:after="0"/>
              <w:jc w:val="right"/>
              <w:rPr>
                <w:rFonts w:eastAsia="Times New Roman" w:cs="Arial"/>
                <w:b/>
                <w:bCs/>
                <w:lang w:eastAsia="en-GB"/>
              </w:rPr>
            </w:pPr>
            <w:r w:rsidRPr="00382C85">
              <w:rPr>
                <w:rFonts w:eastAsia="Times New Roman" w:cs="Arial"/>
                <w:b/>
                <w:bCs/>
                <w:lang w:eastAsia="en-GB"/>
              </w:rPr>
              <w:t>197.972</w:t>
            </w:r>
          </w:p>
        </w:tc>
      </w:tr>
      <w:tr w:rsidR="006C72FB" w14:paraId="76D6EBD6" w14:textId="77777777" w:rsidTr="00C122FC">
        <w:trPr>
          <w:trHeight w:val="480"/>
        </w:trPr>
        <w:tc>
          <w:tcPr>
            <w:tcW w:w="2165" w:type="pct"/>
            <w:tcBorders>
              <w:top w:val="nil"/>
              <w:left w:val="single" w:sz="8" w:space="0" w:color="auto"/>
              <w:bottom w:val="single" w:sz="8" w:space="0" w:color="auto"/>
              <w:right w:val="single" w:sz="8" w:space="0" w:color="auto"/>
            </w:tcBorders>
            <w:shd w:val="clear" w:color="auto" w:fill="auto"/>
            <w:vAlign w:val="center"/>
            <w:hideMark/>
          </w:tcPr>
          <w:p w14:paraId="6A7E8FB7" w14:textId="77777777" w:rsidR="00382C85" w:rsidRPr="00382C85" w:rsidRDefault="00A854D0" w:rsidP="00382C85">
            <w:pPr>
              <w:autoSpaceDE/>
              <w:autoSpaceDN/>
              <w:adjustRightInd/>
              <w:spacing w:after="0"/>
              <w:jc w:val="left"/>
              <w:rPr>
                <w:rFonts w:eastAsia="Times New Roman" w:cs="Arial"/>
                <w:b/>
                <w:bCs/>
                <w:lang w:eastAsia="en-GB"/>
              </w:rPr>
            </w:pPr>
            <w:r w:rsidRPr="00382C85">
              <w:rPr>
                <w:rFonts w:eastAsia="Times New Roman" w:cs="Arial"/>
                <w:b/>
                <w:bCs/>
                <w:lang w:eastAsia="en-GB"/>
              </w:rPr>
              <w:t> </w:t>
            </w:r>
          </w:p>
        </w:tc>
        <w:tc>
          <w:tcPr>
            <w:tcW w:w="544" w:type="pct"/>
            <w:tcBorders>
              <w:top w:val="nil"/>
              <w:left w:val="nil"/>
              <w:bottom w:val="single" w:sz="8" w:space="0" w:color="auto"/>
              <w:right w:val="single" w:sz="8" w:space="0" w:color="auto"/>
            </w:tcBorders>
            <w:shd w:val="clear" w:color="auto" w:fill="auto"/>
            <w:vAlign w:val="center"/>
            <w:hideMark/>
          </w:tcPr>
          <w:p w14:paraId="145C4B01" w14:textId="77777777" w:rsidR="00382C85" w:rsidRPr="00382C85" w:rsidRDefault="00A854D0" w:rsidP="00382C85">
            <w:pPr>
              <w:autoSpaceDE/>
              <w:autoSpaceDN/>
              <w:adjustRightInd/>
              <w:spacing w:after="0"/>
              <w:jc w:val="right"/>
              <w:rPr>
                <w:rFonts w:eastAsia="Times New Roman" w:cs="Arial"/>
                <w:b/>
                <w:bCs/>
                <w:lang w:eastAsia="en-GB"/>
              </w:rPr>
            </w:pPr>
            <w:r w:rsidRPr="00382C85">
              <w:rPr>
                <w:rFonts w:eastAsia="Times New Roman" w:cs="Arial"/>
                <w:b/>
                <w:bCs/>
                <w:lang w:eastAsia="en-GB"/>
              </w:rPr>
              <w:t> </w:t>
            </w:r>
          </w:p>
        </w:tc>
        <w:tc>
          <w:tcPr>
            <w:tcW w:w="660" w:type="pct"/>
            <w:tcBorders>
              <w:top w:val="nil"/>
              <w:left w:val="nil"/>
              <w:bottom w:val="single" w:sz="8" w:space="0" w:color="auto"/>
              <w:right w:val="single" w:sz="8" w:space="0" w:color="auto"/>
            </w:tcBorders>
            <w:shd w:val="clear" w:color="auto" w:fill="auto"/>
            <w:vAlign w:val="center"/>
            <w:hideMark/>
          </w:tcPr>
          <w:p w14:paraId="33B631F1" w14:textId="77777777" w:rsidR="00382C85" w:rsidRPr="00382C85" w:rsidRDefault="00A854D0" w:rsidP="00382C85">
            <w:pPr>
              <w:autoSpaceDE/>
              <w:autoSpaceDN/>
              <w:adjustRightInd/>
              <w:spacing w:after="0"/>
              <w:jc w:val="right"/>
              <w:rPr>
                <w:rFonts w:eastAsia="Times New Roman" w:cs="Arial"/>
                <w:b/>
                <w:bCs/>
                <w:lang w:eastAsia="en-GB"/>
              </w:rPr>
            </w:pPr>
            <w:r w:rsidRPr="00382C85">
              <w:rPr>
                <w:rFonts w:eastAsia="Times New Roman" w:cs="Arial"/>
                <w:b/>
                <w:bCs/>
                <w:lang w:eastAsia="en-GB"/>
              </w:rPr>
              <w:t> </w:t>
            </w:r>
          </w:p>
        </w:tc>
        <w:tc>
          <w:tcPr>
            <w:tcW w:w="544" w:type="pct"/>
            <w:tcBorders>
              <w:top w:val="nil"/>
              <w:left w:val="nil"/>
              <w:bottom w:val="single" w:sz="8" w:space="0" w:color="auto"/>
              <w:right w:val="single" w:sz="8" w:space="0" w:color="auto"/>
            </w:tcBorders>
            <w:shd w:val="clear" w:color="auto" w:fill="auto"/>
            <w:vAlign w:val="center"/>
            <w:hideMark/>
          </w:tcPr>
          <w:p w14:paraId="6FA6B673" w14:textId="77777777" w:rsidR="00382C85" w:rsidRPr="00382C85" w:rsidRDefault="00A854D0" w:rsidP="00382C85">
            <w:pPr>
              <w:autoSpaceDE/>
              <w:autoSpaceDN/>
              <w:adjustRightInd/>
              <w:spacing w:after="0"/>
              <w:jc w:val="right"/>
              <w:rPr>
                <w:rFonts w:eastAsia="Times New Roman" w:cs="Arial"/>
                <w:b/>
                <w:bCs/>
                <w:lang w:eastAsia="en-GB"/>
              </w:rPr>
            </w:pPr>
            <w:r w:rsidRPr="00382C85">
              <w:rPr>
                <w:rFonts w:eastAsia="Times New Roman" w:cs="Arial"/>
                <w:b/>
                <w:bCs/>
                <w:lang w:eastAsia="en-GB"/>
              </w:rPr>
              <w:t> </w:t>
            </w:r>
          </w:p>
        </w:tc>
        <w:tc>
          <w:tcPr>
            <w:tcW w:w="544" w:type="pct"/>
            <w:tcBorders>
              <w:top w:val="nil"/>
              <w:left w:val="nil"/>
              <w:bottom w:val="single" w:sz="8" w:space="0" w:color="auto"/>
              <w:right w:val="single" w:sz="8" w:space="0" w:color="auto"/>
            </w:tcBorders>
            <w:shd w:val="clear" w:color="auto" w:fill="auto"/>
            <w:vAlign w:val="center"/>
            <w:hideMark/>
          </w:tcPr>
          <w:p w14:paraId="69B25A0D" w14:textId="77777777" w:rsidR="00382C85" w:rsidRPr="00382C85" w:rsidRDefault="00A854D0" w:rsidP="00382C85">
            <w:pPr>
              <w:autoSpaceDE/>
              <w:autoSpaceDN/>
              <w:adjustRightInd/>
              <w:spacing w:after="0"/>
              <w:jc w:val="right"/>
              <w:rPr>
                <w:rFonts w:eastAsia="Times New Roman" w:cs="Arial"/>
                <w:b/>
                <w:bCs/>
                <w:lang w:eastAsia="en-GB"/>
              </w:rPr>
            </w:pPr>
            <w:r w:rsidRPr="00382C85">
              <w:rPr>
                <w:rFonts w:eastAsia="Times New Roman" w:cs="Arial"/>
                <w:b/>
                <w:bCs/>
                <w:lang w:eastAsia="en-GB"/>
              </w:rPr>
              <w:t> </w:t>
            </w:r>
          </w:p>
        </w:tc>
        <w:tc>
          <w:tcPr>
            <w:tcW w:w="544" w:type="pct"/>
            <w:tcBorders>
              <w:top w:val="nil"/>
              <w:left w:val="nil"/>
              <w:bottom w:val="single" w:sz="8" w:space="0" w:color="auto"/>
              <w:right w:val="single" w:sz="8" w:space="0" w:color="auto"/>
            </w:tcBorders>
            <w:shd w:val="clear" w:color="auto" w:fill="auto"/>
            <w:vAlign w:val="center"/>
            <w:hideMark/>
          </w:tcPr>
          <w:p w14:paraId="7A35A3B9" w14:textId="77777777" w:rsidR="00382C85" w:rsidRPr="00382C85" w:rsidRDefault="00A854D0" w:rsidP="00382C85">
            <w:pPr>
              <w:autoSpaceDE/>
              <w:autoSpaceDN/>
              <w:adjustRightInd/>
              <w:spacing w:after="0"/>
              <w:jc w:val="right"/>
              <w:rPr>
                <w:rFonts w:eastAsia="Times New Roman" w:cs="Arial"/>
                <w:b/>
                <w:bCs/>
                <w:lang w:eastAsia="en-GB"/>
              </w:rPr>
            </w:pPr>
            <w:r w:rsidRPr="00382C85">
              <w:rPr>
                <w:rFonts w:eastAsia="Times New Roman" w:cs="Arial"/>
                <w:b/>
                <w:bCs/>
                <w:lang w:eastAsia="en-GB"/>
              </w:rPr>
              <w:t> </w:t>
            </w:r>
          </w:p>
        </w:tc>
      </w:tr>
      <w:tr w:rsidR="006C72FB" w14:paraId="55AE7C54" w14:textId="77777777" w:rsidTr="0B86641D">
        <w:trPr>
          <w:trHeight w:val="357"/>
        </w:trPr>
        <w:tc>
          <w:tcPr>
            <w:tcW w:w="2165" w:type="pc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2E2265DB" w14:textId="77777777" w:rsidR="00382C85" w:rsidRPr="00382C85" w:rsidRDefault="00A854D0" w:rsidP="00382C85">
            <w:pPr>
              <w:autoSpaceDE/>
              <w:autoSpaceDN/>
              <w:adjustRightInd/>
              <w:spacing w:after="0"/>
              <w:jc w:val="left"/>
              <w:rPr>
                <w:rFonts w:eastAsia="Times New Roman" w:cs="Arial"/>
                <w:lang w:eastAsia="en-GB"/>
              </w:rPr>
            </w:pPr>
            <w:r w:rsidRPr="00382C85">
              <w:rPr>
                <w:rFonts w:eastAsia="Times New Roman" w:cs="Arial"/>
                <w:lang w:eastAsia="en-GB"/>
              </w:rPr>
              <w:t>Change to forecast of resources:</w:t>
            </w:r>
          </w:p>
        </w:tc>
        <w:tc>
          <w:tcPr>
            <w:tcW w:w="544" w:type="pct"/>
            <w:tcBorders>
              <w:top w:val="nil"/>
              <w:left w:val="nil"/>
              <w:bottom w:val="single" w:sz="8" w:space="0" w:color="auto"/>
              <w:right w:val="single" w:sz="8" w:space="0" w:color="auto"/>
            </w:tcBorders>
            <w:shd w:val="clear" w:color="auto" w:fill="BFBFBF" w:themeFill="background1" w:themeFillShade="BF"/>
            <w:vAlign w:val="center"/>
            <w:hideMark/>
          </w:tcPr>
          <w:p w14:paraId="78AA58CC" w14:textId="77777777" w:rsidR="00382C85" w:rsidRPr="00382C85" w:rsidRDefault="00A854D0" w:rsidP="00382C85">
            <w:pPr>
              <w:autoSpaceDE/>
              <w:autoSpaceDN/>
              <w:adjustRightInd/>
              <w:spacing w:after="0"/>
              <w:jc w:val="right"/>
              <w:rPr>
                <w:rFonts w:eastAsia="Times New Roman" w:cs="Arial"/>
                <w:lang w:eastAsia="en-GB"/>
              </w:rPr>
            </w:pPr>
            <w:r w:rsidRPr="00382C85">
              <w:rPr>
                <w:rFonts w:eastAsia="Times New Roman" w:cs="Arial"/>
                <w:lang w:eastAsia="en-GB"/>
              </w:rPr>
              <w:t> </w:t>
            </w:r>
          </w:p>
        </w:tc>
        <w:tc>
          <w:tcPr>
            <w:tcW w:w="660" w:type="pct"/>
            <w:tcBorders>
              <w:top w:val="nil"/>
              <w:left w:val="nil"/>
              <w:bottom w:val="single" w:sz="8" w:space="0" w:color="auto"/>
              <w:right w:val="single" w:sz="8" w:space="0" w:color="auto"/>
            </w:tcBorders>
            <w:shd w:val="clear" w:color="auto" w:fill="BFBFBF" w:themeFill="background1" w:themeFillShade="BF"/>
            <w:vAlign w:val="center"/>
            <w:hideMark/>
          </w:tcPr>
          <w:p w14:paraId="3A1D8CEF" w14:textId="77777777" w:rsidR="00382C85" w:rsidRPr="00382C85" w:rsidRDefault="00A854D0" w:rsidP="00382C85">
            <w:pPr>
              <w:autoSpaceDE/>
              <w:autoSpaceDN/>
              <w:adjustRightInd/>
              <w:spacing w:after="0"/>
              <w:jc w:val="right"/>
              <w:rPr>
                <w:rFonts w:eastAsia="Times New Roman" w:cs="Arial"/>
                <w:lang w:eastAsia="en-GB"/>
              </w:rPr>
            </w:pPr>
            <w:r w:rsidRPr="00382C85">
              <w:rPr>
                <w:rFonts w:eastAsia="Times New Roman" w:cs="Arial"/>
                <w:lang w:eastAsia="en-GB"/>
              </w:rPr>
              <w:t> </w:t>
            </w:r>
          </w:p>
        </w:tc>
        <w:tc>
          <w:tcPr>
            <w:tcW w:w="544" w:type="pct"/>
            <w:tcBorders>
              <w:top w:val="nil"/>
              <w:left w:val="nil"/>
              <w:bottom w:val="single" w:sz="8" w:space="0" w:color="auto"/>
              <w:right w:val="single" w:sz="8" w:space="0" w:color="auto"/>
            </w:tcBorders>
            <w:shd w:val="clear" w:color="auto" w:fill="BFBFBF" w:themeFill="background1" w:themeFillShade="BF"/>
            <w:vAlign w:val="center"/>
            <w:hideMark/>
          </w:tcPr>
          <w:p w14:paraId="1AB48C5C" w14:textId="77777777" w:rsidR="00382C85" w:rsidRPr="00382C85" w:rsidRDefault="00A854D0" w:rsidP="00382C85">
            <w:pPr>
              <w:autoSpaceDE/>
              <w:autoSpaceDN/>
              <w:adjustRightInd/>
              <w:spacing w:after="0"/>
              <w:jc w:val="right"/>
              <w:rPr>
                <w:rFonts w:eastAsia="Times New Roman" w:cs="Arial"/>
                <w:lang w:eastAsia="en-GB"/>
              </w:rPr>
            </w:pPr>
            <w:r w:rsidRPr="00382C85">
              <w:rPr>
                <w:rFonts w:eastAsia="Times New Roman" w:cs="Arial"/>
                <w:lang w:eastAsia="en-GB"/>
              </w:rPr>
              <w:t> </w:t>
            </w:r>
          </w:p>
        </w:tc>
        <w:tc>
          <w:tcPr>
            <w:tcW w:w="544" w:type="pct"/>
            <w:tcBorders>
              <w:top w:val="nil"/>
              <w:left w:val="nil"/>
              <w:bottom w:val="single" w:sz="8" w:space="0" w:color="auto"/>
              <w:right w:val="single" w:sz="8" w:space="0" w:color="auto"/>
            </w:tcBorders>
            <w:shd w:val="clear" w:color="auto" w:fill="BFBFBF" w:themeFill="background1" w:themeFillShade="BF"/>
            <w:vAlign w:val="center"/>
            <w:hideMark/>
          </w:tcPr>
          <w:p w14:paraId="1B796F9A" w14:textId="77777777" w:rsidR="00382C85" w:rsidRPr="00382C85" w:rsidRDefault="00A854D0" w:rsidP="00382C85">
            <w:pPr>
              <w:autoSpaceDE/>
              <w:autoSpaceDN/>
              <w:adjustRightInd/>
              <w:spacing w:after="0"/>
              <w:jc w:val="right"/>
              <w:rPr>
                <w:rFonts w:eastAsia="Times New Roman" w:cs="Arial"/>
                <w:lang w:eastAsia="en-GB"/>
              </w:rPr>
            </w:pPr>
            <w:r w:rsidRPr="00382C85">
              <w:rPr>
                <w:rFonts w:eastAsia="Times New Roman" w:cs="Arial"/>
                <w:lang w:eastAsia="en-GB"/>
              </w:rPr>
              <w:t> </w:t>
            </w:r>
          </w:p>
        </w:tc>
        <w:tc>
          <w:tcPr>
            <w:tcW w:w="544" w:type="pct"/>
            <w:tcBorders>
              <w:top w:val="nil"/>
              <w:left w:val="nil"/>
              <w:bottom w:val="single" w:sz="8" w:space="0" w:color="auto"/>
              <w:right w:val="single" w:sz="8" w:space="0" w:color="auto"/>
            </w:tcBorders>
            <w:shd w:val="clear" w:color="auto" w:fill="BFBFBF" w:themeFill="background1" w:themeFillShade="BF"/>
            <w:vAlign w:val="center"/>
            <w:hideMark/>
          </w:tcPr>
          <w:p w14:paraId="1CBB3A0B" w14:textId="77777777" w:rsidR="00382C85" w:rsidRPr="00382C85" w:rsidRDefault="00A854D0" w:rsidP="00382C85">
            <w:pPr>
              <w:autoSpaceDE/>
              <w:autoSpaceDN/>
              <w:adjustRightInd/>
              <w:spacing w:after="0"/>
              <w:jc w:val="right"/>
              <w:rPr>
                <w:rFonts w:eastAsia="Times New Roman" w:cs="Arial"/>
                <w:lang w:eastAsia="en-GB"/>
              </w:rPr>
            </w:pPr>
            <w:r w:rsidRPr="00382C85">
              <w:rPr>
                <w:rFonts w:eastAsia="Times New Roman" w:cs="Arial"/>
                <w:lang w:eastAsia="en-GB"/>
              </w:rPr>
              <w:t> </w:t>
            </w:r>
          </w:p>
        </w:tc>
      </w:tr>
      <w:tr w:rsidR="006C72FB" w14:paraId="4AB05108" w14:textId="77777777" w:rsidTr="00C122FC">
        <w:trPr>
          <w:trHeight w:val="357"/>
        </w:trPr>
        <w:tc>
          <w:tcPr>
            <w:tcW w:w="2165" w:type="pct"/>
            <w:tcBorders>
              <w:top w:val="nil"/>
              <w:left w:val="single" w:sz="8" w:space="0" w:color="auto"/>
              <w:bottom w:val="single" w:sz="8" w:space="0" w:color="auto"/>
              <w:right w:val="single" w:sz="8" w:space="0" w:color="auto"/>
            </w:tcBorders>
            <w:shd w:val="clear" w:color="auto" w:fill="auto"/>
            <w:vAlign w:val="center"/>
            <w:hideMark/>
          </w:tcPr>
          <w:p w14:paraId="21E49588" w14:textId="77777777" w:rsidR="00382C85" w:rsidRPr="00382C85" w:rsidRDefault="00A854D0" w:rsidP="00382C85">
            <w:pPr>
              <w:autoSpaceDE/>
              <w:autoSpaceDN/>
              <w:adjustRightInd/>
              <w:spacing w:after="0"/>
              <w:jc w:val="left"/>
              <w:rPr>
                <w:rFonts w:eastAsia="Times New Roman" w:cs="Arial"/>
                <w:lang w:eastAsia="en-GB"/>
              </w:rPr>
            </w:pPr>
            <w:r w:rsidRPr="00382C85">
              <w:rPr>
                <w:rFonts w:eastAsia="Times New Roman" w:cs="Arial"/>
                <w:lang w:eastAsia="en-GB"/>
              </w:rPr>
              <w:t>Funding</w:t>
            </w:r>
          </w:p>
        </w:tc>
        <w:tc>
          <w:tcPr>
            <w:tcW w:w="544" w:type="pct"/>
            <w:tcBorders>
              <w:top w:val="nil"/>
              <w:left w:val="nil"/>
              <w:bottom w:val="single" w:sz="8" w:space="0" w:color="auto"/>
              <w:right w:val="single" w:sz="8" w:space="0" w:color="auto"/>
            </w:tcBorders>
            <w:shd w:val="clear" w:color="auto" w:fill="auto"/>
            <w:vAlign w:val="center"/>
            <w:hideMark/>
          </w:tcPr>
          <w:p w14:paraId="59495547" w14:textId="77777777" w:rsidR="00382C85" w:rsidRPr="00382C85" w:rsidRDefault="00A854D0" w:rsidP="00382C85">
            <w:pPr>
              <w:autoSpaceDE/>
              <w:autoSpaceDN/>
              <w:adjustRightInd/>
              <w:spacing w:after="0"/>
              <w:jc w:val="right"/>
              <w:rPr>
                <w:rFonts w:eastAsia="Times New Roman" w:cs="Arial"/>
                <w:lang w:eastAsia="en-GB"/>
              </w:rPr>
            </w:pPr>
            <w:r w:rsidRPr="00382C85">
              <w:rPr>
                <w:rFonts w:eastAsia="Times New Roman" w:cs="Arial"/>
                <w:lang w:eastAsia="en-GB"/>
              </w:rPr>
              <w:t>-9.752</w:t>
            </w:r>
          </w:p>
        </w:tc>
        <w:tc>
          <w:tcPr>
            <w:tcW w:w="660" w:type="pct"/>
            <w:tcBorders>
              <w:top w:val="nil"/>
              <w:left w:val="nil"/>
              <w:bottom w:val="single" w:sz="8" w:space="0" w:color="auto"/>
              <w:right w:val="single" w:sz="8" w:space="0" w:color="auto"/>
            </w:tcBorders>
            <w:shd w:val="clear" w:color="auto" w:fill="auto"/>
            <w:vAlign w:val="center"/>
            <w:hideMark/>
          </w:tcPr>
          <w:p w14:paraId="6D595A95" w14:textId="77777777" w:rsidR="00382C85" w:rsidRPr="00382C85" w:rsidRDefault="00A854D0" w:rsidP="00382C85">
            <w:pPr>
              <w:autoSpaceDE/>
              <w:autoSpaceDN/>
              <w:adjustRightInd/>
              <w:spacing w:after="0"/>
              <w:jc w:val="right"/>
              <w:rPr>
                <w:rFonts w:eastAsia="Times New Roman" w:cs="Arial"/>
                <w:lang w:eastAsia="en-GB"/>
              </w:rPr>
            </w:pPr>
            <w:r w:rsidRPr="00382C85">
              <w:rPr>
                <w:rFonts w:eastAsia="Times New Roman" w:cs="Arial"/>
                <w:lang w:eastAsia="en-GB"/>
              </w:rPr>
              <w:t>-0.011</w:t>
            </w:r>
          </w:p>
        </w:tc>
        <w:tc>
          <w:tcPr>
            <w:tcW w:w="544" w:type="pct"/>
            <w:tcBorders>
              <w:top w:val="nil"/>
              <w:left w:val="nil"/>
              <w:bottom w:val="single" w:sz="8" w:space="0" w:color="auto"/>
              <w:right w:val="single" w:sz="8" w:space="0" w:color="auto"/>
            </w:tcBorders>
            <w:shd w:val="clear" w:color="auto" w:fill="auto"/>
            <w:vAlign w:val="center"/>
            <w:hideMark/>
          </w:tcPr>
          <w:p w14:paraId="17F50583" w14:textId="77777777" w:rsidR="00382C85" w:rsidRPr="00382C85" w:rsidRDefault="00A854D0" w:rsidP="00382C85">
            <w:pPr>
              <w:autoSpaceDE/>
              <w:autoSpaceDN/>
              <w:adjustRightInd/>
              <w:spacing w:after="0"/>
              <w:jc w:val="right"/>
              <w:rPr>
                <w:rFonts w:eastAsia="Times New Roman" w:cs="Arial"/>
                <w:lang w:eastAsia="en-GB"/>
              </w:rPr>
            </w:pPr>
            <w:r w:rsidRPr="00382C85">
              <w:rPr>
                <w:rFonts w:eastAsia="Times New Roman" w:cs="Arial"/>
                <w:lang w:eastAsia="en-GB"/>
              </w:rPr>
              <w:t>-33.182</w:t>
            </w:r>
          </w:p>
        </w:tc>
        <w:tc>
          <w:tcPr>
            <w:tcW w:w="544" w:type="pct"/>
            <w:tcBorders>
              <w:top w:val="nil"/>
              <w:left w:val="nil"/>
              <w:bottom w:val="single" w:sz="8" w:space="0" w:color="auto"/>
              <w:right w:val="single" w:sz="8" w:space="0" w:color="auto"/>
            </w:tcBorders>
            <w:shd w:val="clear" w:color="auto" w:fill="auto"/>
            <w:vAlign w:val="center"/>
            <w:hideMark/>
          </w:tcPr>
          <w:p w14:paraId="2DE11DFA" w14:textId="77777777" w:rsidR="00382C85" w:rsidRPr="00382C85" w:rsidRDefault="00A854D0" w:rsidP="00382C85">
            <w:pPr>
              <w:autoSpaceDE/>
              <w:autoSpaceDN/>
              <w:adjustRightInd/>
              <w:spacing w:after="0"/>
              <w:jc w:val="right"/>
              <w:rPr>
                <w:rFonts w:eastAsia="Times New Roman" w:cs="Arial"/>
                <w:lang w:eastAsia="en-GB"/>
              </w:rPr>
            </w:pPr>
            <w:r w:rsidRPr="00382C85">
              <w:rPr>
                <w:rFonts w:eastAsia="Times New Roman" w:cs="Arial"/>
                <w:lang w:eastAsia="en-GB"/>
              </w:rPr>
              <w:t>-36.699</w:t>
            </w:r>
          </w:p>
        </w:tc>
        <w:tc>
          <w:tcPr>
            <w:tcW w:w="544" w:type="pct"/>
            <w:tcBorders>
              <w:top w:val="nil"/>
              <w:left w:val="nil"/>
              <w:bottom w:val="single" w:sz="8" w:space="0" w:color="auto"/>
              <w:right w:val="single" w:sz="8" w:space="0" w:color="auto"/>
            </w:tcBorders>
            <w:shd w:val="clear" w:color="auto" w:fill="auto"/>
            <w:vAlign w:val="center"/>
            <w:hideMark/>
          </w:tcPr>
          <w:p w14:paraId="3047B9D1" w14:textId="77777777" w:rsidR="00382C85" w:rsidRPr="00382C85" w:rsidRDefault="00A854D0" w:rsidP="00382C85">
            <w:pPr>
              <w:autoSpaceDE/>
              <w:autoSpaceDN/>
              <w:adjustRightInd/>
              <w:spacing w:after="0"/>
              <w:jc w:val="right"/>
              <w:rPr>
                <w:rFonts w:eastAsia="Times New Roman" w:cs="Arial"/>
                <w:b/>
                <w:bCs/>
                <w:lang w:eastAsia="en-GB"/>
              </w:rPr>
            </w:pPr>
            <w:r w:rsidRPr="00382C85">
              <w:rPr>
                <w:rFonts w:eastAsia="Times New Roman" w:cs="Arial"/>
                <w:b/>
                <w:bCs/>
                <w:lang w:eastAsia="en-GB"/>
              </w:rPr>
              <w:t>-79.644</w:t>
            </w:r>
          </w:p>
        </w:tc>
      </w:tr>
      <w:tr w:rsidR="006C72FB" w14:paraId="1B68BFA3" w14:textId="77777777" w:rsidTr="0B86641D">
        <w:trPr>
          <w:trHeight w:val="585"/>
        </w:trPr>
        <w:tc>
          <w:tcPr>
            <w:tcW w:w="2165"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69216C08" w14:textId="77777777" w:rsidR="00382C85" w:rsidRPr="00382C85" w:rsidRDefault="00A854D0" w:rsidP="00382C85">
            <w:pPr>
              <w:autoSpaceDE/>
              <w:autoSpaceDN/>
              <w:adjustRightInd/>
              <w:spacing w:after="0"/>
              <w:jc w:val="left"/>
              <w:rPr>
                <w:rFonts w:eastAsia="Times New Roman" w:cs="Arial"/>
                <w:b/>
                <w:bCs/>
                <w:lang w:eastAsia="en-GB"/>
              </w:rPr>
            </w:pPr>
            <w:r w:rsidRPr="00382C85">
              <w:rPr>
                <w:rFonts w:eastAsia="Times New Roman" w:cs="Arial"/>
                <w:b/>
                <w:bCs/>
                <w:lang w:eastAsia="en-GB"/>
              </w:rPr>
              <w:t>Total Change to Forecast of Resources</w:t>
            </w:r>
          </w:p>
        </w:tc>
        <w:tc>
          <w:tcPr>
            <w:tcW w:w="544"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23A5DBA" w14:textId="77777777" w:rsidR="00382C85" w:rsidRPr="00382C85" w:rsidRDefault="00A854D0" w:rsidP="00382C85">
            <w:pPr>
              <w:autoSpaceDE/>
              <w:autoSpaceDN/>
              <w:adjustRightInd/>
              <w:spacing w:after="0"/>
              <w:jc w:val="right"/>
              <w:rPr>
                <w:rFonts w:eastAsia="Times New Roman" w:cs="Arial"/>
                <w:b/>
                <w:bCs/>
                <w:lang w:eastAsia="en-GB"/>
              </w:rPr>
            </w:pPr>
            <w:r w:rsidRPr="00382C85">
              <w:rPr>
                <w:rFonts w:eastAsia="Times New Roman" w:cs="Arial"/>
                <w:b/>
                <w:bCs/>
                <w:lang w:eastAsia="en-GB"/>
              </w:rPr>
              <w:t>-9.752</w:t>
            </w:r>
          </w:p>
        </w:tc>
        <w:tc>
          <w:tcPr>
            <w:tcW w:w="660"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42A74D9" w14:textId="77777777" w:rsidR="00382C85" w:rsidRPr="00382C85" w:rsidRDefault="00A854D0" w:rsidP="00382C85">
            <w:pPr>
              <w:autoSpaceDE/>
              <w:autoSpaceDN/>
              <w:adjustRightInd/>
              <w:spacing w:after="0"/>
              <w:jc w:val="right"/>
              <w:rPr>
                <w:rFonts w:eastAsia="Times New Roman" w:cs="Arial"/>
                <w:b/>
                <w:bCs/>
                <w:lang w:eastAsia="en-GB"/>
              </w:rPr>
            </w:pPr>
            <w:r w:rsidRPr="00382C85">
              <w:rPr>
                <w:rFonts w:eastAsia="Times New Roman" w:cs="Arial"/>
                <w:b/>
                <w:bCs/>
                <w:lang w:eastAsia="en-GB"/>
              </w:rPr>
              <w:t>-0.011</w:t>
            </w:r>
          </w:p>
        </w:tc>
        <w:tc>
          <w:tcPr>
            <w:tcW w:w="544"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BD17F39" w14:textId="77777777" w:rsidR="00382C85" w:rsidRPr="00382C85" w:rsidRDefault="00A854D0" w:rsidP="00382C85">
            <w:pPr>
              <w:autoSpaceDE/>
              <w:autoSpaceDN/>
              <w:adjustRightInd/>
              <w:spacing w:after="0"/>
              <w:jc w:val="right"/>
              <w:rPr>
                <w:rFonts w:eastAsia="Times New Roman" w:cs="Arial"/>
                <w:b/>
                <w:bCs/>
                <w:lang w:eastAsia="en-GB"/>
              </w:rPr>
            </w:pPr>
            <w:r w:rsidRPr="00382C85">
              <w:rPr>
                <w:rFonts w:eastAsia="Times New Roman" w:cs="Arial"/>
                <w:b/>
                <w:bCs/>
                <w:lang w:eastAsia="en-GB"/>
              </w:rPr>
              <w:t>-33.182</w:t>
            </w:r>
          </w:p>
        </w:tc>
        <w:tc>
          <w:tcPr>
            <w:tcW w:w="544"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F0A981B" w14:textId="77777777" w:rsidR="00382C85" w:rsidRPr="00382C85" w:rsidRDefault="00A854D0" w:rsidP="00382C85">
            <w:pPr>
              <w:autoSpaceDE/>
              <w:autoSpaceDN/>
              <w:adjustRightInd/>
              <w:spacing w:after="0"/>
              <w:jc w:val="right"/>
              <w:rPr>
                <w:rFonts w:eastAsia="Times New Roman" w:cs="Arial"/>
                <w:b/>
                <w:bCs/>
                <w:lang w:eastAsia="en-GB"/>
              </w:rPr>
            </w:pPr>
            <w:r w:rsidRPr="00382C85">
              <w:rPr>
                <w:rFonts w:eastAsia="Times New Roman" w:cs="Arial"/>
                <w:b/>
                <w:bCs/>
                <w:lang w:eastAsia="en-GB"/>
              </w:rPr>
              <w:t>-36.699</w:t>
            </w:r>
          </w:p>
        </w:tc>
        <w:tc>
          <w:tcPr>
            <w:tcW w:w="544" w:type="pct"/>
            <w:tcBorders>
              <w:top w:val="nil"/>
              <w:left w:val="nil"/>
              <w:bottom w:val="single" w:sz="8" w:space="0" w:color="auto"/>
              <w:right w:val="single" w:sz="8" w:space="0" w:color="auto"/>
            </w:tcBorders>
            <w:shd w:val="clear" w:color="auto" w:fill="D9D9D9" w:themeFill="background1" w:themeFillShade="D9"/>
            <w:vAlign w:val="center"/>
            <w:hideMark/>
          </w:tcPr>
          <w:p w14:paraId="447A1AF3" w14:textId="77777777" w:rsidR="00382C85" w:rsidRPr="00382C85" w:rsidRDefault="00A854D0" w:rsidP="00382C85">
            <w:pPr>
              <w:autoSpaceDE/>
              <w:autoSpaceDN/>
              <w:adjustRightInd/>
              <w:spacing w:after="0"/>
              <w:jc w:val="right"/>
              <w:rPr>
                <w:rFonts w:eastAsia="Times New Roman" w:cs="Arial"/>
                <w:b/>
                <w:bCs/>
                <w:lang w:eastAsia="en-GB"/>
              </w:rPr>
            </w:pPr>
            <w:r w:rsidRPr="00382C85">
              <w:rPr>
                <w:rFonts w:eastAsia="Times New Roman" w:cs="Arial"/>
                <w:b/>
                <w:bCs/>
                <w:lang w:eastAsia="en-GB"/>
              </w:rPr>
              <w:t>-79.644</w:t>
            </w:r>
          </w:p>
        </w:tc>
      </w:tr>
      <w:tr w:rsidR="006C72FB" w14:paraId="0381291B" w14:textId="77777777" w:rsidTr="00C122FC">
        <w:trPr>
          <w:trHeight w:val="330"/>
        </w:trPr>
        <w:tc>
          <w:tcPr>
            <w:tcW w:w="2165" w:type="pct"/>
            <w:tcBorders>
              <w:top w:val="nil"/>
              <w:left w:val="single" w:sz="8" w:space="0" w:color="auto"/>
              <w:bottom w:val="single" w:sz="8" w:space="0" w:color="auto"/>
              <w:right w:val="single" w:sz="8" w:space="0" w:color="auto"/>
            </w:tcBorders>
            <w:shd w:val="clear" w:color="auto" w:fill="auto"/>
            <w:vAlign w:val="center"/>
            <w:hideMark/>
          </w:tcPr>
          <w:p w14:paraId="1C8C7E26" w14:textId="77777777" w:rsidR="00382C85" w:rsidRPr="00382C85" w:rsidRDefault="00A854D0" w:rsidP="00382C85">
            <w:pPr>
              <w:autoSpaceDE/>
              <w:autoSpaceDN/>
              <w:adjustRightInd/>
              <w:spacing w:after="0"/>
              <w:jc w:val="left"/>
              <w:rPr>
                <w:rFonts w:eastAsia="Times New Roman" w:cs="Arial"/>
                <w:lang w:eastAsia="en-GB"/>
              </w:rPr>
            </w:pPr>
            <w:r w:rsidRPr="00382C85">
              <w:rPr>
                <w:rFonts w:eastAsia="Times New Roman" w:cs="Arial"/>
                <w:lang w:eastAsia="en-GB"/>
              </w:rPr>
              <w:t> </w:t>
            </w:r>
          </w:p>
        </w:tc>
        <w:tc>
          <w:tcPr>
            <w:tcW w:w="544" w:type="pct"/>
            <w:tcBorders>
              <w:top w:val="nil"/>
              <w:left w:val="nil"/>
              <w:bottom w:val="single" w:sz="8" w:space="0" w:color="auto"/>
              <w:right w:val="single" w:sz="8" w:space="0" w:color="auto"/>
            </w:tcBorders>
            <w:shd w:val="clear" w:color="auto" w:fill="auto"/>
            <w:vAlign w:val="center"/>
            <w:hideMark/>
          </w:tcPr>
          <w:p w14:paraId="54D0388B" w14:textId="77777777" w:rsidR="00382C85" w:rsidRPr="00382C85" w:rsidRDefault="00A854D0" w:rsidP="00382C85">
            <w:pPr>
              <w:autoSpaceDE/>
              <w:autoSpaceDN/>
              <w:adjustRightInd/>
              <w:spacing w:after="0"/>
              <w:jc w:val="right"/>
              <w:rPr>
                <w:rFonts w:eastAsia="Times New Roman" w:cs="Arial"/>
                <w:b/>
                <w:bCs/>
                <w:lang w:eastAsia="en-GB"/>
              </w:rPr>
            </w:pPr>
            <w:r w:rsidRPr="00382C85">
              <w:rPr>
                <w:rFonts w:eastAsia="Times New Roman" w:cs="Arial"/>
                <w:b/>
                <w:bCs/>
                <w:lang w:eastAsia="en-GB"/>
              </w:rPr>
              <w:t> </w:t>
            </w:r>
          </w:p>
        </w:tc>
        <w:tc>
          <w:tcPr>
            <w:tcW w:w="660" w:type="pct"/>
            <w:tcBorders>
              <w:top w:val="nil"/>
              <w:left w:val="nil"/>
              <w:bottom w:val="single" w:sz="8" w:space="0" w:color="auto"/>
              <w:right w:val="single" w:sz="8" w:space="0" w:color="auto"/>
            </w:tcBorders>
            <w:shd w:val="clear" w:color="auto" w:fill="auto"/>
            <w:vAlign w:val="center"/>
            <w:hideMark/>
          </w:tcPr>
          <w:p w14:paraId="531603F0" w14:textId="77777777" w:rsidR="00382C85" w:rsidRPr="00382C85" w:rsidRDefault="00A854D0" w:rsidP="00382C85">
            <w:pPr>
              <w:autoSpaceDE/>
              <w:autoSpaceDN/>
              <w:adjustRightInd/>
              <w:spacing w:after="0"/>
              <w:jc w:val="right"/>
              <w:rPr>
                <w:rFonts w:eastAsia="Times New Roman" w:cs="Arial"/>
                <w:b/>
                <w:bCs/>
                <w:lang w:eastAsia="en-GB"/>
              </w:rPr>
            </w:pPr>
            <w:r w:rsidRPr="00382C85">
              <w:rPr>
                <w:rFonts w:eastAsia="Times New Roman" w:cs="Arial"/>
                <w:b/>
                <w:bCs/>
                <w:lang w:eastAsia="en-GB"/>
              </w:rPr>
              <w:t> </w:t>
            </w:r>
          </w:p>
        </w:tc>
        <w:tc>
          <w:tcPr>
            <w:tcW w:w="544" w:type="pct"/>
            <w:tcBorders>
              <w:top w:val="nil"/>
              <w:left w:val="nil"/>
              <w:bottom w:val="single" w:sz="8" w:space="0" w:color="auto"/>
              <w:right w:val="single" w:sz="8" w:space="0" w:color="auto"/>
            </w:tcBorders>
            <w:shd w:val="clear" w:color="auto" w:fill="auto"/>
            <w:vAlign w:val="center"/>
            <w:hideMark/>
          </w:tcPr>
          <w:p w14:paraId="0EA1E70E" w14:textId="77777777" w:rsidR="00382C85" w:rsidRPr="00382C85" w:rsidRDefault="00A854D0" w:rsidP="00382C85">
            <w:pPr>
              <w:autoSpaceDE/>
              <w:autoSpaceDN/>
              <w:adjustRightInd/>
              <w:spacing w:after="0"/>
              <w:jc w:val="right"/>
              <w:rPr>
                <w:rFonts w:eastAsia="Times New Roman" w:cs="Arial"/>
                <w:b/>
                <w:bCs/>
                <w:lang w:eastAsia="en-GB"/>
              </w:rPr>
            </w:pPr>
            <w:r w:rsidRPr="00382C85">
              <w:rPr>
                <w:rFonts w:eastAsia="Times New Roman" w:cs="Arial"/>
                <w:b/>
                <w:bCs/>
                <w:lang w:eastAsia="en-GB"/>
              </w:rPr>
              <w:t> </w:t>
            </w:r>
          </w:p>
        </w:tc>
        <w:tc>
          <w:tcPr>
            <w:tcW w:w="544" w:type="pct"/>
            <w:tcBorders>
              <w:top w:val="nil"/>
              <w:left w:val="nil"/>
              <w:bottom w:val="single" w:sz="8" w:space="0" w:color="auto"/>
              <w:right w:val="single" w:sz="8" w:space="0" w:color="auto"/>
            </w:tcBorders>
            <w:shd w:val="clear" w:color="auto" w:fill="auto"/>
            <w:vAlign w:val="center"/>
            <w:hideMark/>
          </w:tcPr>
          <w:p w14:paraId="7429C7E5" w14:textId="77777777" w:rsidR="00382C85" w:rsidRPr="00382C85" w:rsidRDefault="00A854D0" w:rsidP="00382C85">
            <w:pPr>
              <w:autoSpaceDE/>
              <w:autoSpaceDN/>
              <w:adjustRightInd/>
              <w:spacing w:after="0"/>
              <w:jc w:val="right"/>
              <w:rPr>
                <w:rFonts w:eastAsia="Times New Roman" w:cs="Arial"/>
                <w:b/>
                <w:bCs/>
                <w:lang w:eastAsia="en-GB"/>
              </w:rPr>
            </w:pPr>
            <w:r w:rsidRPr="00382C85">
              <w:rPr>
                <w:rFonts w:eastAsia="Times New Roman" w:cs="Arial"/>
                <w:b/>
                <w:bCs/>
                <w:lang w:eastAsia="en-GB"/>
              </w:rPr>
              <w:t> </w:t>
            </w:r>
          </w:p>
        </w:tc>
        <w:tc>
          <w:tcPr>
            <w:tcW w:w="544" w:type="pct"/>
            <w:tcBorders>
              <w:top w:val="nil"/>
              <w:left w:val="nil"/>
              <w:bottom w:val="single" w:sz="8" w:space="0" w:color="auto"/>
              <w:right w:val="single" w:sz="8" w:space="0" w:color="auto"/>
            </w:tcBorders>
            <w:shd w:val="clear" w:color="auto" w:fill="auto"/>
            <w:vAlign w:val="center"/>
            <w:hideMark/>
          </w:tcPr>
          <w:p w14:paraId="01E684CC" w14:textId="77777777" w:rsidR="00382C85" w:rsidRPr="00382C85" w:rsidRDefault="00A854D0" w:rsidP="00382C85">
            <w:pPr>
              <w:autoSpaceDE/>
              <w:autoSpaceDN/>
              <w:adjustRightInd/>
              <w:spacing w:after="0"/>
              <w:jc w:val="right"/>
              <w:rPr>
                <w:rFonts w:eastAsia="Times New Roman" w:cs="Arial"/>
                <w:b/>
                <w:bCs/>
                <w:lang w:eastAsia="en-GB"/>
              </w:rPr>
            </w:pPr>
            <w:r w:rsidRPr="00382C85">
              <w:rPr>
                <w:rFonts w:eastAsia="Times New Roman" w:cs="Arial"/>
                <w:b/>
                <w:bCs/>
                <w:lang w:eastAsia="en-GB"/>
              </w:rPr>
              <w:t> </w:t>
            </w:r>
          </w:p>
        </w:tc>
      </w:tr>
      <w:tr w:rsidR="006C72FB" w14:paraId="4DD59391" w14:textId="77777777" w:rsidTr="0B86641D">
        <w:trPr>
          <w:trHeight w:val="330"/>
        </w:trPr>
        <w:tc>
          <w:tcPr>
            <w:tcW w:w="2165" w:type="pc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0D129D9F" w14:textId="77777777" w:rsidR="00382C85" w:rsidRPr="00382C85" w:rsidRDefault="00A854D0" w:rsidP="00382C85">
            <w:pPr>
              <w:autoSpaceDE/>
              <w:autoSpaceDN/>
              <w:adjustRightInd/>
              <w:spacing w:after="0"/>
              <w:jc w:val="left"/>
              <w:rPr>
                <w:rFonts w:eastAsia="Times New Roman" w:cs="Arial"/>
                <w:b/>
                <w:bCs/>
                <w:lang w:eastAsia="en-GB"/>
              </w:rPr>
            </w:pPr>
            <w:r w:rsidRPr="00382C85">
              <w:rPr>
                <w:rFonts w:eastAsia="Times New Roman" w:cs="Arial"/>
                <w:b/>
                <w:bCs/>
                <w:lang w:eastAsia="en-GB"/>
              </w:rPr>
              <w:t>Funding Gap</w:t>
            </w:r>
          </w:p>
        </w:tc>
        <w:tc>
          <w:tcPr>
            <w:tcW w:w="544" w:type="pct"/>
            <w:tcBorders>
              <w:top w:val="nil"/>
              <w:left w:val="nil"/>
              <w:bottom w:val="single" w:sz="8" w:space="0" w:color="auto"/>
              <w:right w:val="single" w:sz="8" w:space="0" w:color="auto"/>
            </w:tcBorders>
            <w:shd w:val="clear" w:color="auto" w:fill="D9D9D9" w:themeFill="background1" w:themeFillShade="D9"/>
            <w:vAlign w:val="center"/>
            <w:hideMark/>
          </w:tcPr>
          <w:p w14:paraId="1E3598B3" w14:textId="77777777" w:rsidR="00382C85" w:rsidRPr="00382C85" w:rsidRDefault="00A854D0" w:rsidP="00382C85">
            <w:pPr>
              <w:autoSpaceDE/>
              <w:autoSpaceDN/>
              <w:adjustRightInd/>
              <w:spacing w:after="0"/>
              <w:jc w:val="right"/>
              <w:rPr>
                <w:rFonts w:eastAsia="Times New Roman" w:cs="Arial"/>
                <w:b/>
                <w:bCs/>
                <w:lang w:eastAsia="en-GB"/>
              </w:rPr>
            </w:pPr>
            <w:r w:rsidRPr="00382C85">
              <w:rPr>
                <w:rFonts w:eastAsia="Times New Roman" w:cs="Arial"/>
                <w:b/>
                <w:bCs/>
                <w:lang w:eastAsia="en-GB"/>
              </w:rPr>
              <w:t>87.054</w:t>
            </w:r>
          </w:p>
        </w:tc>
        <w:tc>
          <w:tcPr>
            <w:tcW w:w="660" w:type="pct"/>
            <w:tcBorders>
              <w:top w:val="nil"/>
              <w:left w:val="nil"/>
              <w:bottom w:val="single" w:sz="8" w:space="0" w:color="auto"/>
              <w:right w:val="single" w:sz="8" w:space="0" w:color="auto"/>
            </w:tcBorders>
            <w:shd w:val="clear" w:color="auto" w:fill="D9D9D9" w:themeFill="background1" w:themeFillShade="D9"/>
            <w:vAlign w:val="center"/>
            <w:hideMark/>
          </w:tcPr>
          <w:p w14:paraId="092FBB3D" w14:textId="77777777" w:rsidR="00382C85" w:rsidRPr="00382C85" w:rsidRDefault="00A854D0" w:rsidP="00382C85">
            <w:pPr>
              <w:autoSpaceDE/>
              <w:autoSpaceDN/>
              <w:adjustRightInd/>
              <w:spacing w:after="0"/>
              <w:jc w:val="right"/>
              <w:rPr>
                <w:rFonts w:eastAsia="Times New Roman" w:cs="Arial"/>
                <w:b/>
                <w:bCs/>
                <w:lang w:eastAsia="en-GB"/>
              </w:rPr>
            </w:pPr>
            <w:r w:rsidRPr="00382C85">
              <w:rPr>
                <w:rFonts w:eastAsia="Times New Roman" w:cs="Arial"/>
                <w:b/>
                <w:bCs/>
                <w:lang w:eastAsia="en-GB"/>
              </w:rPr>
              <w:t>25.709</w:t>
            </w:r>
          </w:p>
        </w:tc>
        <w:tc>
          <w:tcPr>
            <w:tcW w:w="544" w:type="pct"/>
            <w:tcBorders>
              <w:top w:val="nil"/>
              <w:left w:val="nil"/>
              <w:bottom w:val="single" w:sz="8" w:space="0" w:color="auto"/>
              <w:right w:val="single" w:sz="8" w:space="0" w:color="auto"/>
            </w:tcBorders>
            <w:shd w:val="clear" w:color="auto" w:fill="D9D9D9" w:themeFill="background1" w:themeFillShade="D9"/>
            <w:vAlign w:val="center"/>
            <w:hideMark/>
          </w:tcPr>
          <w:p w14:paraId="072EC631" w14:textId="77777777" w:rsidR="00382C85" w:rsidRPr="00382C85" w:rsidRDefault="00A854D0" w:rsidP="00382C85">
            <w:pPr>
              <w:autoSpaceDE/>
              <w:autoSpaceDN/>
              <w:adjustRightInd/>
              <w:spacing w:after="0"/>
              <w:jc w:val="right"/>
              <w:rPr>
                <w:rFonts w:eastAsia="Times New Roman" w:cs="Arial"/>
                <w:b/>
                <w:bCs/>
                <w:lang w:eastAsia="en-GB"/>
              </w:rPr>
            </w:pPr>
            <w:r w:rsidRPr="00382C85">
              <w:rPr>
                <w:rFonts w:eastAsia="Times New Roman" w:cs="Arial"/>
                <w:b/>
                <w:bCs/>
                <w:lang w:eastAsia="en-GB"/>
              </w:rPr>
              <w:t>26.049</w:t>
            </w:r>
          </w:p>
        </w:tc>
        <w:tc>
          <w:tcPr>
            <w:tcW w:w="544" w:type="pct"/>
            <w:tcBorders>
              <w:top w:val="nil"/>
              <w:left w:val="nil"/>
              <w:bottom w:val="single" w:sz="8" w:space="0" w:color="auto"/>
              <w:right w:val="single" w:sz="8" w:space="0" w:color="auto"/>
            </w:tcBorders>
            <w:shd w:val="clear" w:color="auto" w:fill="D9D9D9" w:themeFill="background1" w:themeFillShade="D9"/>
            <w:vAlign w:val="center"/>
            <w:hideMark/>
          </w:tcPr>
          <w:p w14:paraId="2875EDAA" w14:textId="77777777" w:rsidR="00382C85" w:rsidRPr="00382C85" w:rsidRDefault="00A854D0" w:rsidP="00382C85">
            <w:pPr>
              <w:autoSpaceDE/>
              <w:autoSpaceDN/>
              <w:adjustRightInd/>
              <w:spacing w:after="0"/>
              <w:jc w:val="right"/>
              <w:rPr>
                <w:rFonts w:eastAsia="Times New Roman" w:cs="Arial"/>
                <w:b/>
                <w:bCs/>
                <w:lang w:eastAsia="en-GB"/>
              </w:rPr>
            </w:pPr>
            <w:r w:rsidRPr="00382C85">
              <w:rPr>
                <w:rFonts w:eastAsia="Times New Roman" w:cs="Arial"/>
                <w:b/>
                <w:bCs/>
                <w:lang w:eastAsia="en-GB"/>
              </w:rPr>
              <w:t>20.866</w:t>
            </w:r>
          </w:p>
        </w:tc>
        <w:tc>
          <w:tcPr>
            <w:tcW w:w="544" w:type="pct"/>
            <w:tcBorders>
              <w:top w:val="nil"/>
              <w:left w:val="nil"/>
              <w:bottom w:val="single" w:sz="8" w:space="0" w:color="auto"/>
              <w:right w:val="single" w:sz="8" w:space="0" w:color="auto"/>
            </w:tcBorders>
            <w:shd w:val="clear" w:color="auto" w:fill="D9D9D9" w:themeFill="background1" w:themeFillShade="D9"/>
            <w:vAlign w:val="center"/>
            <w:hideMark/>
          </w:tcPr>
          <w:p w14:paraId="4F2B5E82" w14:textId="77777777" w:rsidR="00382C85" w:rsidRPr="00382C85" w:rsidRDefault="00A854D0" w:rsidP="00382C85">
            <w:pPr>
              <w:autoSpaceDE/>
              <w:autoSpaceDN/>
              <w:adjustRightInd/>
              <w:spacing w:after="0"/>
              <w:jc w:val="right"/>
              <w:rPr>
                <w:rFonts w:eastAsia="Times New Roman" w:cs="Arial"/>
                <w:b/>
                <w:bCs/>
                <w:lang w:eastAsia="en-GB"/>
              </w:rPr>
            </w:pPr>
            <w:r w:rsidRPr="00382C85">
              <w:rPr>
                <w:rFonts w:eastAsia="Times New Roman" w:cs="Arial"/>
                <w:b/>
                <w:bCs/>
                <w:lang w:eastAsia="en-GB"/>
              </w:rPr>
              <w:t>159.678</w:t>
            </w:r>
          </w:p>
        </w:tc>
      </w:tr>
    </w:tbl>
    <w:p w14:paraId="010094BA" w14:textId="6AC7336B" w:rsidR="29DF077E" w:rsidRDefault="29DF077E"/>
    <w:p w14:paraId="228647D0" w14:textId="77777777" w:rsidR="0046463C" w:rsidRPr="003A755A" w:rsidRDefault="0046463C" w:rsidP="0046463C">
      <w:pPr>
        <w:spacing w:after="0"/>
        <w:rPr>
          <w:rFonts w:cs="Arial"/>
          <w:highlight w:val="yellow"/>
        </w:rPr>
      </w:pPr>
    </w:p>
    <w:tbl>
      <w:tblPr>
        <w:tblW w:w="5000" w:type="pct"/>
        <w:tblLook w:val="04A0" w:firstRow="1" w:lastRow="0" w:firstColumn="1" w:lastColumn="0" w:noHBand="0" w:noVBand="1"/>
      </w:tblPr>
      <w:tblGrid>
        <w:gridCol w:w="3597"/>
        <w:gridCol w:w="1327"/>
        <w:gridCol w:w="1243"/>
        <w:gridCol w:w="1441"/>
        <w:gridCol w:w="1398"/>
      </w:tblGrid>
      <w:tr w:rsidR="006C72FB" w14:paraId="501C5BEA" w14:textId="77777777" w:rsidTr="0B86641D">
        <w:trPr>
          <w:trHeight w:val="480"/>
        </w:trPr>
        <w:tc>
          <w:tcPr>
            <w:tcW w:w="199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4906763B" w14:textId="77777777" w:rsidR="00716016" w:rsidRPr="00716016" w:rsidRDefault="00A854D0" w:rsidP="00716016">
            <w:pPr>
              <w:autoSpaceDE/>
              <w:autoSpaceDN/>
              <w:adjustRightInd/>
              <w:spacing w:after="0"/>
              <w:jc w:val="left"/>
              <w:rPr>
                <w:rFonts w:eastAsia="Times New Roman" w:cs="Arial"/>
                <w:b/>
                <w:bCs/>
                <w:lang w:eastAsia="en-GB"/>
              </w:rPr>
            </w:pPr>
            <w:r w:rsidRPr="00716016">
              <w:rPr>
                <w:rFonts w:eastAsia="Times New Roman" w:cs="Arial"/>
                <w:b/>
                <w:bCs/>
                <w:lang w:eastAsia="en-GB"/>
              </w:rPr>
              <w:t>Aggregated Funding Gap</w:t>
            </w:r>
          </w:p>
        </w:tc>
        <w:tc>
          <w:tcPr>
            <w:tcW w:w="737"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17F28383" w14:textId="77777777" w:rsidR="00716016" w:rsidRPr="00716016" w:rsidRDefault="00A854D0" w:rsidP="00716016">
            <w:pPr>
              <w:autoSpaceDE/>
              <w:autoSpaceDN/>
              <w:adjustRightInd/>
              <w:spacing w:after="0"/>
              <w:jc w:val="right"/>
              <w:rPr>
                <w:rFonts w:eastAsia="Times New Roman" w:cs="Arial"/>
                <w:b/>
                <w:bCs/>
                <w:lang w:eastAsia="en-GB"/>
              </w:rPr>
            </w:pPr>
            <w:r w:rsidRPr="00716016">
              <w:rPr>
                <w:rFonts w:eastAsia="Times New Roman" w:cs="Arial"/>
                <w:b/>
                <w:bCs/>
                <w:lang w:eastAsia="en-GB"/>
              </w:rPr>
              <w:t>2023/24</w:t>
            </w:r>
          </w:p>
        </w:tc>
        <w:tc>
          <w:tcPr>
            <w:tcW w:w="690"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4DABF668" w14:textId="77777777" w:rsidR="00716016" w:rsidRPr="00716016" w:rsidRDefault="00A854D0" w:rsidP="00716016">
            <w:pPr>
              <w:autoSpaceDE/>
              <w:autoSpaceDN/>
              <w:adjustRightInd/>
              <w:spacing w:after="0"/>
              <w:jc w:val="right"/>
              <w:rPr>
                <w:rFonts w:eastAsia="Times New Roman" w:cs="Arial"/>
                <w:b/>
                <w:bCs/>
                <w:lang w:eastAsia="en-GB"/>
              </w:rPr>
            </w:pPr>
            <w:r w:rsidRPr="00716016">
              <w:rPr>
                <w:rFonts w:eastAsia="Times New Roman" w:cs="Arial"/>
                <w:b/>
                <w:bCs/>
                <w:lang w:eastAsia="en-GB"/>
              </w:rPr>
              <w:t>2024/25</w:t>
            </w:r>
          </w:p>
        </w:tc>
        <w:tc>
          <w:tcPr>
            <w:tcW w:w="800"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5918C800" w14:textId="77777777" w:rsidR="00716016" w:rsidRPr="00716016" w:rsidRDefault="00A854D0" w:rsidP="00716016">
            <w:pPr>
              <w:autoSpaceDE/>
              <w:autoSpaceDN/>
              <w:adjustRightInd/>
              <w:spacing w:after="0"/>
              <w:jc w:val="right"/>
              <w:rPr>
                <w:rFonts w:eastAsia="Times New Roman" w:cs="Arial"/>
                <w:b/>
                <w:bCs/>
                <w:lang w:eastAsia="en-GB"/>
              </w:rPr>
            </w:pPr>
            <w:r w:rsidRPr="00716016">
              <w:rPr>
                <w:rFonts w:eastAsia="Times New Roman" w:cs="Arial"/>
                <w:b/>
                <w:bCs/>
                <w:lang w:eastAsia="en-GB"/>
              </w:rPr>
              <w:t>2025/26</w:t>
            </w:r>
          </w:p>
        </w:tc>
        <w:tc>
          <w:tcPr>
            <w:tcW w:w="776"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26BD8823" w14:textId="77777777" w:rsidR="00716016" w:rsidRPr="00716016" w:rsidRDefault="00A854D0" w:rsidP="00716016">
            <w:pPr>
              <w:autoSpaceDE/>
              <w:autoSpaceDN/>
              <w:adjustRightInd/>
              <w:spacing w:after="0"/>
              <w:jc w:val="right"/>
              <w:rPr>
                <w:rFonts w:eastAsia="Times New Roman" w:cs="Arial"/>
                <w:b/>
                <w:bCs/>
                <w:lang w:eastAsia="en-GB"/>
              </w:rPr>
            </w:pPr>
            <w:r w:rsidRPr="00716016">
              <w:rPr>
                <w:rFonts w:eastAsia="Times New Roman" w:cs="Arial"/>
                <w:b/>
                <w:bCs/>
                <w:lang w:eastAsia="en-GB"/>
              </w:rPr>
              <w:t>2026/27</w:t>
            </w:r>
          </w:p>
        </w:tc>
      </w:tr>
      <w:tr w:rsidR="006C72FB" w14:paraId="7E37AA65" w14:textId="77777777" w:rsidTr="00F84C80">
        <w:trPr>
          <w:trHeight w:val="357"/>
        </w:trPr>
        <w:tc>
          <w:tcPr>
            <w:tcW w:w="1997" w:type="pct"/>
            <w:tcBorders>
              <w:top w:val="nil"/>
              <w:left w:val="single" w:sz="8" w:space="0" w:color="auto"/>
              <w:bottom w:val="single" w:sz="8" w:space="0" w:color="auto"/>
              <w:right w:val="single" w:sz="8" w:space="0" w:color="auto"/>
            </w:tcBorders>
            <w:shd w:val="clear" w:color="auto" w:fill="auto"/>
            <w:vAlign w:val="center"/>
            <w:hideMark/>
          </w:tcPr>
          <w:p w14:paraId="6AFEF87F" w14:textId="77777777" w:rsidR="00716016" w:rsidRPr="00716016" w:rsidRDefault="00A854D0" w:rsidP="00716016">
            <w:pPr>
              <w:autoSpaceDE/>
              <w:autoSpaceDN/>
              <w:adjustRightInd/>
              <w:spacing w:after="0"/>
              <w:jc w:val="left"/>
              <w:rPr>
                <w:rFonts w:eastAsia="Times New Roman" w:cs="Arial"/>
                <w:b/>
                <w:bCs/>
                <w:lang w:eastAsia="en-GB"/>
              </w:rPr>
            </w:pPr>
            <w:r w:rsidRPr="00716016">
              <w:rPr>
                <w:rFonts w:eastAsia="Times New Roman" w:cs="Arial"/>
                <w:b/>
                <w:bCs/>
                <w:lang w:eastAsia="en-GB"/>
              </w:rPr>
              <w:t>2023/24 (£m)</w:t>
            </w:r>
          </w:p>
        </w:tc>
        <w:tc>
          <w:tcPr>
            <w:tcW w:w="737" w:type="pct"/>
            <w:tcBorders>
              <w:top w:val="nil"/>
              <w:left w:val="nil"/>
              <w:bottom w:val="single" w:sz="8" w:space="0" w:color="auto"/>
              <w:right w:val="single" w:sz="8" w:space="0" w:color="auto"/>
            </w:tcBorders>
            <w:shd w:val="clear" w:color="auto" w:fill="auto"/>
            <w:vAlign w:val="center"/>
            <w:hideMark/>
          </w:tcPr>
          <w:p w14:paraId="52900DD5" w14:textId="77777777" w:rsidR="00716016" w:rsidRPr="00716016" w:rsidRDefault="00A854D0" w:rsidP="00716016">
            <w:pPr>
              <w:autoSpaceDE/>
              <w:autoSpaceDN/>
              <w:adjustRightInd/>
              <w:spacing w:after="0"/>
              <w:jc w:val="right"/>
              <w:rPr>
                <w:rFonts w:eastAsia="Times New Roman" w:cs="Arial"/>
                <w:lang w:eastAsia="en-GB"/>
              </w:rPr>
            </w:pPr>
            <w:r w:rsidRPr="00716016">
              <w:rPr>
                <w:rFonts w:eastAsia="Times New Roman" w:cs="Arial"/>
                <w:lang w:eastAsia="en-GB"/>
              </w:rPr>
              <w:t>87.054</w:t>
            </w:r>
          </w:p>
        </w:tc>
        <w:tc>
          <w:tcPr>
            <w:tcW w:w="690" w:type="pct"/>
            <w:tcBorders>
              <w:top w:val="nil"/>
              <w:left w:val="nil"/>
              <w:bottom w:val="single" w:sz="8" w:space="0" w:color="auto"/>
              <w:right w:val="single" w:sz="8" w:space="0" w:color="auto"/>
            </w:tcBorders>
            <w:shd w:val="clear" w:color="auto" w:fill="auto"/>
            <w:vAlign w:val="center"/>
            <w:hideMark/>
          </w:tcPr>
          <w:p w14:paraId="7B6F7B38" w14:textId="77777777" w:rsidR="00716016" w:rsidRPr="00716016" w:rsidRDefault="00A854D0" w:rsidP="00716016">
            <w:pPr>
              <w:autoSpaceDE/>
              <w:autoSpaceDN/>
              <w:adjustRightInd/>
              <w:spacing w:after="0"/>
              <w:jc w:val="right"/>
              <w:rPr>
                <w:rFonts w:eastAsia="Times New Roman" w:cs="Arial"/>
                <w:lang w:eastAsia="en-GB"/>
              </w:rPr>
            </w:pPr>
            <w:r w:rsidRPr="00716016">
              <w:rPr>
                <w:rFonts w:eastAsia="Times New Roman" w:cs="Arial"/>
                <w:lang w:eastAsia="en-GB"/>
              </w:rPr>
              <w:t>87.054</w:t>
            </w:r>
          </w:p>
        </w:tc>
        <w:tc>
          <w:tcPr>
            <w:tcW w:w="800" w:type="pct"/>
            <w:tcBorders>
              <w:top w:val="nil"/>
              <w:left w:val="nil"/>
              <w:bottom w:val="single" w:sz="8" w:space="0" w:color="auto"/>
              <w:right w:val="single" w:sz="8" w:space="0" w:color="auto"/>
            </w:tcBorders>
            <w:shd w:val="clear" w:color="auto" w:fill="auto"/>
            <w:vAlign w:val="center"/>
            <w:hideMark/>
          </w:tcPr>
          <w:p w14:paraId="7ED7012F" w14:textId="77777777" w:rsidR="00716016" w:rsidRPr="00716016" w:rsidRDefault="00A854D0" w:rsidP="00716016">
            <w:pPr>
              <w:autoSpaceDE/>
              <w:autoSpaceDN/>
              <w:adjustRightInd/>
              <w:spacing w:after="0"/>
              <w:jc w:val="right"/>
              <w:rPr>
                <w:rFonts w:eastAsia="Times New Roman" w:cs="Arial"/>
                <w:lang w:eastAsia="en-GB"/>
              </w:rPr>
            </w:pPr>
            <w:r w:rsidRPr="00716016">
              <w:rPr>
                <w:rFonts w:eastAsia="Times New Roman" w:cs="Arial"/>
                <w:lang w:eastAsia="en-GB"/>
              </w:rPr>
              <w:t>87.054</w:t>
            </w:r>
          </w:p>
        </w:tc>
        <w:tc>
          <w:tcPr>
            <w:tcW w:w="776" w:type="pct"/>
            <w:tcBorders>
              <w:top w:val="nil"/>
              <w:left w:val="nil"/>
              <w:bottom w:val="single" w:sz="8" w:space="0" w:color="auto"/>
              <w:right w:val="single" w:sz="8" w:space="0" w:color="auto"/>
            </w:tcBorders>
            <w:shd w:val="clear" w:color="auto" w:fill="auto"/>
            <w:vAlign w:val="center"/>
            <w:hideMark/>
          </w:tcPr>
          <w:p w14:paraId="1955735E" w14:textId="77777777" w:rsidR="00716016" w:rsidRPr="00716016" w:rsidRDefault="00A854D0" w:rsidP="00716016">
            <w:pPr>
              <w:autoSpaceDE/>
              <w:autoSpaceDN/>
              <w:adjustRightInd/>
              <w:spacing w:after="0"/>
              <w:jc w:val="right"/>
              <w:rPr>
                <w:rFonts w:eastAsia="Times New Roman" w:cs="Arial"/>
                <w:lang w:eastAsia="en-GB"/>
              </w:rPr>
            </w:pPr>
            <w:r w:rsidRPr="00716016">
              <w:rPr>
                <w:rFonts w:eastAsia="Times New Roman" w:cs="Arial"/>
                <w:lang w:eastAsia="en-GB"/>
              </w:rPr>
              <w:t>87.054</w:t>
            </w:r>
          </w:p>
        </w:tc>
      </w:tr>
      <w:tr w:rsidR="006C72FB" w14:paraId="39060BBE" w14:textId="77777777" w:rsidTr="00F84C80">
        <w:trPr>
          <w:trHeight w:val="357"/>
        </w:trPr>
        <w:tc>
          <w:tcPr>
            <w:tcW w:w="1997" w:type="pct"/>
            <w:tcBorders>
              <w:top w:val="nil"/>
              <w:left w:val="single" w:sz="8" w:space="0" w:color="auto"/>
              <w:bottom w:val="single" w:sz="8" w:space="0" w:color="auto"/>
              <w:right w:val="single" w:sz="8" w:space="0" w:color="auto"/>
            </w:tcBorders>
            <w:shd w:val="clear" w:color="auto" w:fill="auto"/>
            <w:vAlign w:val="center"/>
            <w:hideMark/>
          </w:tcPr>
          <w:p w14:paraId="3890EF4F" w14:textId="77777777" w:rsidR="00716016" w:rsidRPr="00716016" w:rsidRDefault="00A854D0" w:rsidP="00716016">
            <w:pPr>
              <w:autoSpaceDE/>
              <w:autoSpaceDN/>
              <w:adjustRightInd/>
              <w:spacing w:after="0"/>
              <w:jc w:val="left"/>
              <w:rPr>
                <w:rFonts w:eastAsia="Times New Roman" w:cs="Arial"/>
                <w:b/>
                <w:bCs/>
                <w:lang w:eastAsia="en-GB"/>
              </w:rPr>
            </w:pPr>
            <w:r w:rsidRPr="00716016">
              <w:rPr>
                <w:rFonts w:eastAsia="Times New Roman" w:cs="Arial"/>
                <w:b/>
                <w:bCs/>
                <w:lang w:eastAsia="en-GB"/>
              </w:rPr>
              <w:t>2024/25 (£m)</w:t>
            </w:r>
          </w:p>
        </w:tc>
        <w:tc>
          <w:tcPr>
            <w:tcW w:w="737" w:type="pct"/>
            <w:tcBorders>
              <w:top w:val="nil"/>
              <w:left w:val="nil"/>
              <w:bottom w:val="single" w:sz="8" w:space="0" w:color="auto"/>
              <w:right w:val="single" w:sz="8" w:space="0" w:color="auto"/>
            </w:tcBorders>
            <w:shd w:val="clear" w:color="auto" w:fill="auto"/>
            <w:vAlign w:val="center"/>
            <w:hideMark/>
          </w:tcPr>
          <w:p w14:paraId="2B39850A" w14:textId="77777777" w:rsidR="00716016" w:rsidRPr="00716016" w:rsidRDefault="00A854D0" w:rsidP="00716016">
            <w:pPr>
              <w:autoSpaceDE/>
              <w:autoSpaceDN/>
              <w:adjustRightInd/>
              <w:spacing w:after="0"/>
              <w:jc w:val="right"/>
              <w:rPr>
                <w:rFonts w:eastAsia="Times New Roman" w:cs="Arial"/>
                <w:lang w:eastAsia="en-GB"/>
              </w:rPr>
            </w:pPr>
            <w:r w:rsidRPr="00716016">
              <w:rPr>
                <w:rFonts w:eastAsia="Times New Roman" w:cs="Arial"/>
                <w:lang w:eastAsia="en-GB"/>
              </w:rPr>
              <w:t> </w:t>
            </w:r>
          </w:p>
        </w:tc>
        <w:tc>
          <w:tcPr>
            <w:tcW w:w="690" w:type="pct"/>
            <w:tcBorders>
              <w:top w:val="nil"/>
              <w:left w:val="nil"/>
              <w:bottom w:val="single" w:sz="8" w:space="0" w:color="auto"/>
              <w:right w:val="single" w:sz="8" w:space="0" w:color="auto"/>
            </w:tcBorders>
            <w:shd w:val="clear" w:color="auto" w:fill="auto"/>
            <w:vAlign w:val="center"/>
            <w:hideMark/>
          </w:tcPr>
          <w:p w14:paraId="58B19438" w14:textId="77777777" w:rsidR="00716016" w:rsidRPr="00716016" w:rsidRDefault="00A854D0" w:rsidP="00716016">
            <w:pPr>
              <w:autoSpaceDE/>
              <w:autoSpaceDN/>
              <w:adjustRightInd/>
              <w:spacing w:after="0"/>
              <w:jc w:val="right"/>
              <w:rPr>
                <w:rFonts w:eastAsia="Times New Roman" w:cs="Arial"/>
                <w:lang w:eastAsia="en-GB"/>
              </w:rPr>
            </w:pPr>
            <w:r w:rsidRPr="00716016">
              <w:rPr>
                <w:rFonts w:eastAsia="Times New Roman" w:cs="Arial"/>
                <w:lang w:eastAsia="en-GB"/>
              </w:rPr>
              <w:t>25.709</w:t>
            </w:r>
          </w:p>
        </w:tc>
        <w:tc>
          <w:tcPr>
            <w:tcW w:w="800" w:type="pct"/>
            <w:tcBorders>
              <w:top w:val="nil"/>
              <w:left w:val="nil"/>
              <w:bottom w:val="single" w:sz="8" w:space="0" w:color="auto"/>
              <w:right w:val="single" w:sz="8" w:space="0" w:color="auto"/>
            </w:tcBorders>
            <w:shd w:val="clear" w:color="auto" w:fill="auto"/>
            <w:vAlign w:val="center"/>
            <w:hideMark/>
          </w:tcPr>
          <w:p w14:paraId="2F8FFC0A" w14:textId="77777777" w:rsidR="00716016" w:rsidRPr="00716016" w:rsidRDefault="00A854D0" w:rsidP="00716016">
            <w:pPr>
              <w:autoSpaceDE/>
              <w:autoSpaceDN/>
              <w:adjustRightInd/>
              <w:spacing w:after="0"/>
              <w:jc w:val="right"/>
              <w:rPr>
                <w:rFonts w:eastAsia="Times New Roman" w:cs="Arial"/>
                <w:lang w:eastAsia="en-GB"/>
              </w:rPr>
            </w:pPr>
            <w:r w:rsidRPr="00716016">
              <w:rPr>
                <w:rFonts w:eastAsia="Times New Roman" w:cs="Arial"/>
                <w:lang w:eastAsia="en-GB"/>
              </w:rPr>
              <w:t>25.709</w:t>
            </w:r>
          </w:p>
        </w:tc>
        <w:tc>
          <w:tcPr>
            <w:tcW w:w="776" w:type="pct"/>
            <w:tcBorders>
              <w:top w:val="nil"/>
              <w:left w:val="nil"/>
              <w:bottom w:val="single" w:sz="8" w:space="0" w:color="auto"/>
              <w:right w:val="single" w:sz="8" w:space="0" w:color="auto"/>
            </w:tcBorders>
            <w:shd w:val="clear" w:color="auto" w:fill="auto"/>
            <w:vAlign w:val="center"/>
            <w:hideMark/>
          </w:tcPr>
          <w:p w14:paraId="41C4E15A" w14:textId="77777777" w:rsidR="00716016" w:rsidRPr="00716016" w:rsidRDefault="00A854D0" w:rsidP="00716016">
            <w:pPr>
              <w:autoSpaceDE/>
              <w:autoSpaceDN/>
              <w:adjustRightInd/>
              <w:spacing w:after="0"/>
              <w:jc w:val="right"/>
              <w:rPr>
                <w:rFonts w:eastAsia="Times New Roman" w:cs="Arial"/>
                <w:lang w:eastAsia="en-GB"/>
              </w:rPr>
            </w:pPr>
            <w:r w:rsidRPr="00716016">
              <w:rPr>
                <w:rFonts w:eastAsia="Times New Roman" w:cs="Arial"/>
                <w:lang w:eastAsia="en-GB"/>
              </w:rPr>
              <w:t>25.709</w:t>
            </w:r>
          </w:p>
        </w:tc>
      </w:tr>
      <w:tr w:rsidR="006C72FB" w14:paraId="7F0930B5" w14:textId="77777777" w:rsidTr="00F84C80">
        <w:trPr>
          <w:trHeight w:val="435"/>
        </w:trPr>
        <w:tc>
          <w:tcPr>
            <w:tcW w:w="1997" w:type="pct"/>
            <w:tcBorders>
              <w:top w:val="nil"/>
              <w:left w:val="single" w:sz="8" w:space="0" w:color="auto"/>
              <w:bottom w:val="single" w:sz="8" w:space="0" w:color="auto"/>
              <w:right w:val="single" w:sz="8" w:space="0" w:color="auto"/>
            </w:tcBorders>
            <w:shd w:val="clear" w:color="auto" w:fill="auto"/>
            <w:vAlign w:val="center"/>
            <w:hideMark/>
          </w:tcPr>
          <w:p w14:paraId="37FD4DE4" w14:textId="77777777" w:rsidR="00716016" w:rsidRPr="00716016" w:rsidRDefault="00A854D0" w:rsidP="00716016">
            <w:pPr>
              <w:autoSpaceDE/>
              <w:autoSpaceDN/>
              <w:adjustRightInd/>
              <w:spacing w:after="0"/>
              <w:jc w:val="left"/>
              <w:rPr>
                <w:rFonts w:eastAsia="Times New Roman" w:cs="Arial"/>
                <w:b/>
                <w:bCs/>
                <w:lang w:eastAsia="en-GB"/>
              </w:rPr>
            </w:pPr>
            <w:r w:rsidRPr="00716016">
              <w:rPr>
                <w:rFonts w:eastAsia="Times New Roman" w:cs="Arial"/>
                <w:b/>
                <w:bCs/>
                <w:lang w:eastAsia="en-GB"/>
              </w:rPr>
              <w:t>2025/26 (£m)</w:t>
            </w:r>
          </w:p>
        </w:tc>
        <w:tc>
          <w:tcPr>
            <w:tcW w:w="737" w:type="pct"/>
            <w:tcBorders>
              <w:top w:val="nil"/>
              <w:left w:val="nil"/>
              <w:bottom w:val="single" w:sz="8" w:space="0" w:color="auto"/>
              <w:right w:val="single" w:sz="8" w:space="0" w:color="auto"/>
            </w:tcBorders>
            <w:shd w:val="clear" w:color="auto" w:fill="auto"/>
            <w:vAlign w:val="center"/>
            <w:hideMark/>
          </w:tcPr>
          <w:p w14:paraId="0BA203D1" w14:textId="77777777" w:rsidR="00716016" w:rsidRPr="00716016" w:rsidRDefault="00A854D0" w:rsidP="00716016">
            <w:pPr>
              <w:autoSpaceDE/>
              <w:autoSpaceDN/>
              <w:adjustRightInd/>
              <w:spacing w:after="0"/>
              <w:jc w:val="right"/>
              <w:rPr>
                <w:rFonts w:eastAsia="Times New Roman" w:cs="Arial"/>
                <w:lang w:eastAsia="en-GB"/>
              </w:rPr>
            </w:pPr>
            <w:r w:rsidRPr="00716016">
              <w:rPr>
                <w:rFonts w:eastAsia="Times New Roman" w:cs="Arial"/>
                <w:lang w:eastAsia="en-GB"/>
              </w:rPr>
              <w:t> </w:t>
            </w:r>
          </w:p>
        </w:tc>
        <w:tc>
          <w:tcPr>
            <w:tcW w:w="690" w:type="pct"/>
            <w:tcBorders>
              <w:top w:val="nil"/>
              <w:left w:val="nil"/>
              <w:bottom w:val="single" w:sz="8" w:space="0" w:color="auto"/>
              <w:right w:val="single" w:sz="8" w:space="0" w:color="auto"/>
            </w:tcBorders>
            <w:shd w:val="clear" w:color="auto" w:fill="auto"/>
            <w:vAlign w:val="center"/>
            <w:hideMark/>
          </w:tcPr>
          <w:p w14:paraId="61791030" w14:textId="77777777" w:rsidR="00716016" w:rsidRPr="00716016" w:rsidRDefault="00A854D0" w:rsidP="00716016">
            <w:pPr>
              <w:autoSpaceDE/>
              <w:autoSpaceDN/>
              <w:adjustRightInd/>
              <w:spacing w:after="0"/>
              <w:jc w:val="right"/>
              <w:rPr>
                <w:rFonts w:eastAsia="Times New Roman" w:cs="Arial"/>
                <w:lang w:eastAsia="en-GB"/>
              </w:rPr>
            </w:pPr>
            <w:r w:rsidRPr="00716016">
              <w:rPr>
                <w:rFonts w:eastAsia="Times New Roman" w:cs="Arial"/>
                <w:lang w:eastAsia="en-GB"/>
              </w:rPr>
              <w:t> </w:t>
            </w:r>
          </w:p>
        </w:tc>
        <w:tc>
          <w:tcPr>
            <w:tcW w:w="800" w:type="pct"/>
            <w:tcBorders>
              <w:top w:val="nil"/>
              <w:left w:val="nil"/>
              <w:bottom w:val="single" w:sz="8" w:space="0" w:color="auto"/>
              <w:right w:val="single" w:sz="8" w:space="0" w:color="auto"/>
            </w:tcBorders>
            <w:shd w:val="clear" w:color="auto" w:fill="auto"/>
            <w:vAlign w:val="center"/>
            <w:hideMark/>
          </w:tcPr>
          <w:p w14:paraId="7C6EE22B" w14:textId="77777777" w:rsidR="00716016" w:rsidRPr="00716016" w:rsidRDefault="00A854D0" w:rsidP="00716016">
            <w:pPr>
              <w:autoSpaceDE/>
              <w:autoSpaceDN/>
              <w:adjustRightInd/>
              <w:spacing w:after="0"/>
              <w:jc w:val="right"/>
              <w:rPr>
                <w:rFonts w:eastAsia="Times New Roman" w:cs="Arial"/>
                <w:lang w:eastAsia="en-GB"/>
              </w:rPr>
            </w:pPr>
            <w:r w:rsidRPr="00716016">
              <w:rPr>
                <w:rFonts w:eastAsia="Times New Roman" w:cs="Arial"/>
                <w:lang w:eastAsia="en-GB"/>
              </w:rPr>
              <w:t>26.049</w:t>
            </w:r>
          </w:p>
        </w:tc>
        <w:tc>
          <w:tcPr>
            <w:tcW w:w="776" w:type="pct"/>
            <w:tcBorders>
              <w:top w:val="nil"/>
              <w:left w:val="nil"/>
              <w:bottom w:val="single" w:sz="8" w:space="0" w:color="auto"/>
              <w:right w:val="single" w:sz="8" w:space="0" w:color="auto"/>
            </w:tcBorders>
            <w:shd w:val="clear" w:color="auto" w:fill="auto"/>
            <w:vAlign w:val="center"/>
            <w:hideMark/>
          </w:tcPr>
          <w:p w14:paraId="44E77891" w14:textId="77777777" w:rsidR="00716016" w:rsidRPr="00716016" w:rsidRDefault="00A854D0" w:rsidP="00716016">
            <w:pPr>
              <w:autoSpaceDE/>
              <w:autoSpaceDN/>
              <w:adjustRightInd/>
              <w:spacing w:after="0"/>
              <w:jc w:val="right"/>
              <w:rPr>
                <w:rFonts w:eastAsia="Times New Roman" w:cs="Arial"/>
                <w:lang w:eastAsia="en-GB"/>
              </w:rPr>
            </w:pPr>
            <w:r w:rsidRPr="00716016">
              <w:rPr>
                <w:rFonts w:eastAsia="Times New Roman" w:cs="Arial"/>
                <w:lang w:eastAsia="en-GB"/>
              </w:rPr>
              <w:t>26.049</w:t>
            </w:r>
          </w:p>
        </w:tc>
      </w:tr>
      <w:tr w:rsidR="006C72FB" w14:paraId="52435886" w14:textId="77777777" w:rsidTr="00F84C80">
        <w:trPr>
          <w:trHeight w:val="405"/>
        </w:trPr>
        <w:tc>
          <w:tcPr>
            <w:tcW w:w="1997" w:type="pct"/>
            <w:tcBorders>
              <w:top w:val="nil"/>
              <w:left w:val="single" w:sz="8" w:space="0" w:color="auto"/>
              <w:bottom w:val="single" w:sz="8" w:space="0" w:color="auto"/>
              <w:right w:val="single" w:sz="8" w:space="0" w:color="auto"/>
            </w:tcBorders>
            <w:shd w:val="clear" w:color="auto" w:fill="auto"/>
            <w:vAlign w:val="center"/>
            <w:hideMark/>
          </w:tcPr>
          <w:p w14:paraId="1E9E8E63" w14:textId="77777777" w:rsidR="00716016" w:rsidRPr="00716016" w:rsidRDefault="00A854D0" w:rsidP="00716016">
            <w:pPr>
              <w:autoSpaceDE/>
              <w:autoSpaceDN/>
              <w:adjustRightInd/>
              <w:spacing w:after="0"/>
              <w:jc w:val="left"/>
              <w:rPr>
                <w:rFonts w:eastAsia="Times New Roman" w:cs="Arial"/>
                <w:b/>
                <w:bCs/>
                <w:lang w:eastAsia="en-GB"/>
              </w:rPr>
            </w:pPr>
            <w:r w:rsidRPr="00716016">
              <w:rPr>
                <w:rFonts w:eastAsia="Times New Roman" w:cs="Arial"/>
                <w:b/>
                <w:bCs/>
                <w:lang w:eastAsia="en-GB"/>
              </w:rPr>
              <w:t>2026/27 (£m)</w:t>
            </w:r>
          </w:p>
        </w:tc>
        <w:tc>
          <w:tcPr>
            <w:tcW w:w="737" w:type="pct"/>
            <w:tcBorders>
              <w:top w:val="nil"/>
              <w:left w:val="nil"/>
              <w:bottom w:val="single" w:sz="8" w:space="0" w:color="auto"/>
              <w:right w:val="single" w:sz="8" w:space="0" w:color="auto"/>
            </w:tcBorders>
            <w:shd w:val="clear" w:color="auto" w:fill="auto"/>
            <w:vAlign w:val="center"/>
            <w:hideMark/>
          </w:tcPr>
          <w:p w14:paraId="43C91E8B" w14:textId="77777777" w:rsidR="00716016" w:rsidRPr="00716016" w:rsidRDefault="00A854D0" w:rsidP="00716016">
            <w:pPr>
              <w:autoSpaceDE/>
              <w:autoSpaceDN/>
              <w:adjustRightInd/>
              <w:spacing w:after="0"/>
              <w:jc w:val="right"/>
              <w:rPr>
                <w:rFonts w:eastAsia="Times New Roman" w:cs="Arial"/>
                <w:lang w:eastAsia="en-GB"/>
              </w:rPr>
            </w:pPr>
            <w:r w:rsidRPr="00716016">
              <w:rPr>
                <w:rFonts w:eastAsia="Times New Roman" w:cs="Arial"/>
                <w:lang w:eastAsia="en-GB"/>
              </w:rPr>
              <w:t> </w:t>
            </w:r>
          </w:p>
        </w:tc>
        <w:tc>
          <w:tcPr>
            <w:tcW w:w="690" w:type="pct"/>
            <w:tcBorders>
              <w:top w:val="nil"/>
              <w:left w:val="nil"/>
              <w:bottom w:val="single" w:sz="8" w:space="0" w:color="auto"/>
              <w:right w:val="single" w:sz="8" w:space="0" w:color="auto"/>
            </w:tcBorders>
            <w:shd w:val="clear" w:color="auto" w:fill="auto"/>
            <w:vAlign w:val="center"/>
            <w:hideMark/>
          </w:tcPr>
          <w:p w14:paraId="15A58547" w14:textId="77777777" w:rsidR="00716016" w:rsidRPr="00716016" w:rsidRDefault="00A854D0" w:rsidP="00716016">
            <w:pPr>
              <w:autoSpaceDE/>
              <w:autoSpaceDN/>
              <w:adjustRightInd/>
              <w:spacing w:after="0"/>
              <w:jc w:val="right"/>
              <w:rPr>
                <w:rFonts w:eastAsia="Times New Roman" w:cs="Arial"/>
                <w:lang w:eastAsia="en-GB"/>
              </w:rPr>
            </w:pPr>
            <w:r w:rsidRPr="00716016">
              <w:rPr>
                <w:rFonts w:eastAsia="Times New Roman" w:cs="Arial"/>
                <w:lang w:eastAsia="en-GB"/>
              </w:rPr>
              <w:t> </w:t>
            </w:r>
          </w:p>
        </w:tc>
        <w:tc>
          <w:tcPr>
            <w:tcW w:w="800" w:type="pct"/>
            <w:tcBorders>
              <w:top w:val="nil"/>
              <w:left w:val="nil"/>
              <w:bottom w:val="single" w:sz="8" w:space="0" w:color="auto"/>
              <w:right w:val="single" w:sz="8" w:space="0" w:color="auto"/>
            </w:tcBorders>
            <w:shd w:val="clear" w:color="auto" w:fill="auto"/>
            <w:vAlign w:val="center"/>
            <w:hideMark/>
          </w:tcPr>
          <w:p w14:paraId="09F6B2EA" w14:textId="77777777" w:rsidR="00716016" w:rsidRPr="00716016" w:rsidRDefault="00A854D0" w:rsidP="00716016">
            <w:pPr>
              <w:autoSpaceDE/>
              <w:autoSpaceDN/>
              <w:adjustRightInd/>
              <w:spacing w:after="0"/>
              <w:jc w:val="right"/>
              <w:rPr>
                <w:rFonts w:eastAsia="Times New Roman" w:cs="Arial"/>
                <w:lang w:eastAsia="en-GB"/>
              </w:rPr>
            </w:pPr>
            <w:r w:rsidRPr="00716016">
              <w:rPr>
                <w:rFonts w:eastAsia="Times New Roman" w:cs="Arial"/>
                <w:lang w:eastAsia="en-GB"/>
              </w:rPr>
              <w:t> </w:t>
            </w:r>
          </w:p>
        </w:tc>
        <w:tc>
          <w:tcPr>
            <w:tcW w:w="776" w:type="pct"/>
            <w:tcBorders>
              <w:top w:val="nil"/>
              <w:left w:val="nil"/>
              <w:bottom w:val="single" w:sz="8" w:space="0" w:color="auto"/>
              <w:right w:val="single" w:sz="8" w:space="0" w:color="auto"/>
            </w:tcBorders>
            <w:shd w:val="clear" w:color="auto" w:fill="auto"/>
            <w:vAlign w:val="center"/>
            <w:hideMark/>
          </w:tcPr>
          <w:p w14:paraId="583A5E5F" w14:textId="77777777" w:rsidR="00716016" w:rsidRPr="00716016" w:rsidRDefault="00A854D0" w:rsidP="00716016">
            <w:pPr>
              <w:autoSpaceDE/>
              <w:autoSpaceDN/>
              <w:adjustRightInd/>
              <w:spacing w:after="0"/>
              <w:jc w:val="right"/>
              <w:rPr>
                <w:rFonts w:eastAsia="Times New Roman" w:cs="Arial"/>
                <w:lang w:eastAsia="en-GB"/>
              </w:rPr>
            </w:pPr>
            <w:r w:rsidRPr="00716016">
              <w:rPr>
                <w:rFonts w:eastAsia="Times New Roman" w:cs="Arial"/>
                <w:lang w:eastAsia="en-GB"/>
              </w:rPr>
              <w:t>20.866</w:t>
            </w:r>
          </w:p>
        </w:tc>
      </w:tr>
      <w:tr w:rsidR="006C72FB" w14:paraId="31F59750" w14:textId="77777777" w:rsidTr="0B86641D">
        <w:trPr>
          <w:trHeight w:val="330"/>
        </w:trPr>
        <w:tc>
          <w:tcPr>
            <w:tcW w:w="1997" w:type="pc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7CA7E9BD" w14:textId="77777777" w:rsidR="00716016" w:rsidRPr="00716016" w:rsidRDefault="00A854D0" w:rsidP="00716016">
            <w:pPr>
              <w:autoSpaceDE/>
              <w:autoSpaceDN/>
              <w:adjustRightInd/>
              <w:spacing w:after="0"/>
              <w:jc w:val="left"/>
              <w:rPr>
                <w:rFonts w:eastAsia="Times New Roman" w:cs="Arial"/>
                <w:b/>
                <w:bCs/>
                <w:lang w:eastAsia="en-GB"/>
              </w:rPr>
            </w:pPr>
            <w:r w:rsidRPr="00716016">
              <w:rPr>
                <w:rFonts w:eastAsia="Times New Roman" w:cs="Arial"/>
                <w:b/>
                <w:bCs/>
                <w:lang w:eastAsia="en-GB"/>
              </w:rPr>
              <w:t xml:space="preserve">Total </w:t>
            </w:r>
          </w:p>
        </w:tc>
        <w:tc>
          <w:tcPr>
            <w:tcW w:w="737" w:type="pct"/>
            <w:tcBorders>
              <w:top w:val="nil"/>
              <w:left w:val="nil"/>
              <w:bottom w:val="single" w:sz="8" w:space="0" w:color="auto"/>
              <w:right w:val="single" w:sz="8" w:space="0" w:color="auto"/>
            </w:tcBorders>
            <w:shd w:val="clear" w:color="auto" w:fill="BFBFBF" w:themeFill="background1" w:themeFillShade="BF"/>
            <w:vAlign w:val="center"/>
            <w:hideMark/>
          </w:tcPr>
          <w:p w14:paraId="50BEE86D" w14:textId="77777777" w:rsidR="00716016" w:rsidRPr="00716016" w:rsidRDefault="00A854D0" w:rsidP="00716016">
            <w:pPr>
              <w:autoSpaceDE/>
              <w:autoSpaceDN/>
              <w:adjustRightInd/>
              <w:spacing w:after="0"/>
              <w:jc w:val="right"/>
              <w:rPr>
                <w:rFonts w:eastAsia="Times New Roman" w:cs="Arial"/>
                <w:b/>
                <w:bCs/>
                <w:lang w:eastAsia="en-GB"/>
              </w:rPr>
            </w:pPr>
            <w:r w:rsidRPr="00716016">
              <w:rPr>
                <w:rFonts w:eastAsia="Times New Roman" w:cs="Arial"/>
                <w:b/>
                <w:bCs/>
                <w:lang w:eastAsia="en-GB"/>
              </w:rPr>
              <w:t>87.054</w:t>
            </w:r>
          </w:p>
        </w:tc>
        <w:tc>
          <w:tcPr>
            <w:tcW w:w="690" w:type="pct"/>
            <w:tcBorders>
              <w:top w:val="nil"/>
              <w:left w:val="nil"/>
              <w:bottom w:val="single" w:sz="8" w:space="0" w:color="auto"/>
              <w:right w:val="single" w:sz="8" w:space="0" w:color="auto"/>
            </w:tcBorders>
            <w:shd w:val="clear" w:color="auto" w:fill="BFBFBF" w:themeFill="background1" w:themeFillShade="BF"/>
            <w:vAlign w:val="center"/>
            <w:hideMark/>
          </w:tcPr>
          <w:p w14:paraId="46E785AC" w14:textId="77777777" w:rsidR="00716016" w:rsidRPr="00716016" w:rsidRDefault="00A854D0" w:rsidP="00716016">
            <w:pPr>
              <w:autoSpaceDE/>
              <w:autoSpaceDN/>
              <w:adjustRightInd/>
              <w:spacing w:after="0"/>
              <w:jc w:val="right"/>
              <w:rPr>
                <w:rFonts w:eastAsia="Times New Roman" w:cs="Arial"/>
                <w:b/>
                <w:bCs/>
                <w:lang w:eastAsia="en-GB"/>
              </w:rPr>
            </w:pPr>
            <w:r w:rsidRPr="00716016">
              <w:rPr>
                <w:rFonts w:eastAsia="Times New Roman" w:cs="Arial"/>
                <w:b/>
                <w:bCs/>
                <w:lang w:eastAsia="en-GB"/>
              </w:rPr>
              <w:t>112.763</w:t>
            </w:r>
          </w:p>
        </w:tc>
        <w:tc>
          <w:tcPr>
            <w:tcW w:w="800" w:type="pct"/>
            <w:tcBorders>
              <w:top w:val="nil"/>
              <w:left w:val="nil"/>
              <w:bottom w:val="single" w:sz="8" w:space="0" w:color="auto"/>
              <w:right w:val="single" w:sz="8" w:space="0" w:color="auto"/>
            </w:tcBorders>
            <w:shd w:val="clear" w:color="auto" w:fill="BFBFBF" w:themeFill="background1" w:themeFillShade="BF"/>
            <w:vAlign w:val="center"/>
            <w:hideMark/>
          </w:tcPr>
          <w:p w14:paraId="3AFFFCCA" w14:textId="77777777" w:rsidR="00716016" w:rsidRPr="00716016" w:rsidRDefault="00A854D0" w:rsidP="00716016">
            <w:pPr>
              <w:autoSpaceDE/>
              <w:autoSpaceDN/>
              <w:adjustRightInd/>
              <w:spacing w:after="0"/>
              <w:jc w:val="right"/>
              <w:rPr>
                <w:rFonts w:eastAsia="Times New Roman" w:cs="Arial"/>
                <w:b/>
                <w:bCs/>
                <w:lang w:eastAsia="en-GB"/>
              </w:rPr>
            </w:pPr>
            <w:r w:rsidRPr="00716016">
              <w:rPr>
                <w:rFonts w:eastAsia="Times New Roman" w:cs="Arial"/>
                <w:b/>
                <w:bCs/>
                <w:lang w:eastAsia="en-GB"/>
              </w:rPr>
              <w:t>138.812</w:t>
            </w:r>
          </w:p>
        </w:tc>
        <w:tc>
          <w:tcPr>
            <w:tcW w:w="776" w:type="pct"/>
            <w:tcBorders>
              <w:top w:val="nil"/>
              <w:left w:val="nil"/>
              <w:bottom w:val="single" w:sz="8" w:space="0" w:color="auto"/>
              <w:right w:val="single" w:sz="8" w:space="0" w:color="auto"/>
            </w:tcBorders>
            <w:shd w:val="clear" w:color="auto" w:fill="BFBFBF" w:themeFill="background1" w:themeFillShade="BF"/>
            <w:vAlign w:val="center"/>
            <w:hideMark/>
          </w:tcPr>
          <w:p w14:paraId="09919B0A" w14:textId="77777777" w:rsidR="00716016" w:rsidRPr="00716016" w:rsidRDefault="00A854D0" w:rsidP="00716016">
            <w:pPr>
              <w:autoSpaceDE/>
              <w:autoSpaceDN/>
              <w:adjustRightInd/>
              <w:spacing w:after="0"/>
              <w:jc w:val="right"/>
              <w:rPr>
                <w:rFonts w:eastAsia="Times New Roman" w:cs="Arial"/>
                <w:b/>
                <w:bCs/>
                <w:lang w:eastAsia="en-GB"/>
              </w:rPr>
            </w:pPr>
            <w:r w:rsidRPr="00716016">
              <w:rPr>
                <w:rFonts w:eastAsia="Times New Roman" w:cs="Arial"/>
                <w:b/>
                <w:bCs/>
                <w:lang w:eastAsia="en-GB"/>
              </w:rPr>
              <w:t>159.678</w:t>
            </w:r>
          </w:p>
        </w:tc>
      </w:tr>
      <w:tr w:rsidR="006C72FB" w14:paraId="7EFFE8C3" w14:textId="77777777" w:rsidTr="00F84C80">
        <w:trPr>
          <w:trHeight w:val="330"/>
        </w:trPr>
        <w:tc>
          <w:tcPr>
            <w:tcW w:w="1997" w:type="pct"/>
            <w:tcBorders>
              <w:top w:val="nil"/>
              <w:left w:val="single" w:sz="8" w:space="0" w:color="auto"/>
              <w:bottom w:val="single" w:sz="8" w:space="0" w:color="auto"/>
              <w:right w:val="single" w:sz="8" w:space="0" w:color="auto"/>
            </w:tcBorders>
            <w:shd w:val="clear" w:color="auto" w:fill="auto"/>
            <w:vAlign w:val="center"/>
            <w:hideMark/>
          </w:tcPr>
          <w:p w14:paraId="35BAB93F" w14:textId="77777777" w:rsidR="00716016" w:rsidRPr="00716016" w:rsidRDefault="00A854D0" w:rsidP="00716016">
            <w:pPr>
              <w:autoSpaceDE/>
              <w:autoSpaceDN/>
              <w:adjustRightInd/>
              <w:spacing w:after="0"/>
              <w:jc w:val="left"/>
              <w:rPr>
                <w:rFonts w:eastAsia="Times New Roman" w:cs="Arial"/>
                <w:b/>
                <w:bCs/>
                <w:lang w:eastAsia="en-GB"/>
              </w:rPr>
            </w:pPr>
            <w:r w:rsidRPr="00716016">
              <w:rPr>
                <w:rFonts w:eastAsia="Times New Roman" w:cs="Arial"/>
                <w:b/>
                <w:bCs/>
                <w:lang w:eastAsia="en-GB"/>
              </w:rPr>
              <w:t> </w:t>
            </w:r>
          </w:p>
        </w:tc>
        <w:tc>
          <w:tcPr>
            <w:tcW w:w="737" w:type="pct"/>
            <w:tcBorders>
              <w:top w:val="nil"/>
              <w:left w:val="nil"/>
              <w:bottom w:val="single" w:sz="8" w:space="0" w:color="auto"/>
              <w:right w:val="single" w:sz="8" w:space="0" w:color="auto"/>
            </w:tcBorders>
            <w:shd w:val="clear" w:color="auto" w:fill="auto"/>
            <w:vAlign w:val="center"/>
            <w:hideMark/>
          </w:tcPr>
          <w:p w14:paraId="57616FEA" w14:textId="77777777" w:rsidR="00716016" w:rsidRPr="00716016" w:rsidRDefault="00A854D0" w:rsidP="00716016">
            <w:pPr>
              <w:autoSpaceDE/>
              <w:autoSpaceDN/>
              <w:adjustRightInd/>
              <w:spacing w:after="0"/>
              <w:jc w:val="right"/>
              <w:rPr>
                <w:rFonts w:eastAsia="Times New Roman" w:cs="Arial"/>
                <w:lang w:eastAsia="en-GB"/>
              </w:rPr>
            </w:pPr>
            <w:r w:rsidRPr="00716016">
              <w:rPr>
                <w:rFonts w:eastAsia="Times New Roman" w:cs="Arial"/>
                <w:lang w:eastAsia="en-GB"/>
              </w:rPr>
              <w:t> </w:t>
            </w:r>
          </w:p>
        </w:tc>
        <w:tc>
          <w:tcPr>
            <w:tcW w:w="690" w:type="pct"/>
            <w:tcBorders>
              <w:top w:val="nil"/>
              <w:left w:val="nil"/>
              <w:bottom w:val="nil"/>
              <w:right w:val="single" w:sz="8" w:space="0" w:color="auto"/>
            </w:tcBorders>
            <w:shd w:val="clear" w:color="auto" w:fill="auto"/>
            <w:vAlign w:val="center"/>
            <w:hideMark/>
          </w:tcPr>
          <w:p w14:paraId="500F4F87" w14:textId="77777777" w:rsidR="00716016" w:rsidRPr="00716016" w:rsidRDefault="00A854D0" w:rsidP="00716016">
            <w:pPr>
              <w:autoSpaceDE/>
              <w:autoSpaceDN/>
              <w:adjustRightInd/>
              <w:spacing w:after="0"/>
              <w:jc w:val="right"/>
              <w:rPr>
                <w:rFonts w:eastAsia="Times New Roman" w:cs="Arial"/>
                <w:lang w:eastAsia="en-GB"/>
              </w:rPr>
            </w:pPr>
            <w:r w:rsidRPr="00716016">
              <w:rPr>
                <w:rFonts w:eastAsia="Times New Roman" w:cs="Arial"/>
                <w:lang w:eastAsia="en-GB"/>
              </w:rPr>
              <w:t> </w:t>
            </w:r>
          </w:p>
        </w:tc>
        <w:tc>
          <w:tcPr>
            <w:tcW w:w="800" w:type="pct"/>
            <w:tcBorders>
              <w:top w:val="nil"/>
              <w:left w:val="nil"/>
              <w:bottom w:val="single" w:sz="8" w:space="0" w:color="auto"/>
              <w:right w:val="single" w:sz="8" w:space="0" w:color="auto"/>
            </w:tcBorders>
            <w:shd w:val="clear" w:color="auto" w:fill="auto"/>
            <w:vAlign w:val="center"/>
            <w:hideMark/>
          </w:tcPr>
          <w:p w14:paraId="766AE0FB" w14:textId="77777777" w:rsidR="00716016" w:rsidRPr="00716016" w:rsidRDefault="00A854D0" w:rsidP="00716016">
            <w:pPr>
              <w:autoSpaceDE/>
              <w:autoSpaceDN/>
              <w:adjustRightInd/>
              <w:spacing w:after="0"/>
              <w:jc w:val="right"/>
              <w:rPr>
                <w:rFonts w:eastAsia="Times New Roman" w:cs="Arial"/>
                <w:lang w:eastAsia="en-GB"/>
              </w:rPr>
            </w:pPr>
            <w:r w:rsidRPr="00716016">
              <w:rPr>
                <w:rFonts w:eastAsia="Times New Roman" w:cs="Arial"/>
                <w:lang w:eastAsia="en-GB"/>
              </w:rPr>
              <w:t> </w:t>
            </w:r>
          </w:p>
        </w:tc>
        <w:tc>
          <w:tcPr>
            <w:tcW w:w="776" w:type="pct"/>
            <w:tcBorders>
              <w:top w:val="nil"/>
              <w:left w:val="nil"/>
              <w:bottom w:val="single" w:sz="8" w:space="0" w:color="auto"/>
              <w:right w:val="single" w:sz="8" w:space="0" w:color="auto"/>
            </w:tcBorders>
            <w:shd w:val="clear" w:color="auto" w:fill="auto"/>
            <w:noWrap/>
            <w:vAlign w:val="bottom"/>
            <w:hideMark/>
          </w:tcPr>
          <w:p w14:paraId="7D45EF72" w14:textId="77777777" w:rsidR="00716016" w:rsidRPr="00716016" w:rsidRDefault="00A854D0" w:rsidP="00716016">
            <w:pPr>
              <w:autoSpaceDE/>
              <w:autoSpaceDN/>
              <w:adjustRightInd/>
              <w:spacing w:after="0"/>
              <w:jc w:val="left"/>
              <w:rPr>
                <w:rFonts w:eastAsia="Times New Roman" w:cs="Arial"/>
                <w:lang w:eastAsia="en-GB"/>
              </w:rPr>
            </w:pPr>
            <w:r w:rsidRPr="00716016">
              <w:rPr>
                <w:rFonts w:eastAsia="Times New Roman" w:cs="Arial"/>
                <w:lang w:eastAsia="en-GB"/>
              </w:rPr>
              <w:t> </w:t>
            </w:r>
          </w:p>
        </w:tc>
      </w:tr>
      <w:tr w:rsidR="006C72FB" w14:paraId="0717BA6A" w14:textId="77777777" w:rsidTr="0B86641D">
        <w:trPr>
          <w:trHeight w:val="375"/>
        </w:trPr>
        <w:tc>
          <w:tcPr>
            <w:tcW w:w="1997" w:type="pct"/>
            <w:tcBorders>
              <w:top w:val="nil"/>
              <w:left w:val="single" w:sz="8" w:space="0" w:color="auto"/>
              <w:bottom w:val="single" w:sz="8" w:space="0" w:color="auto"/>
              <w:right w:val="single" w:sz="8" w:space="0" w:color="auto"/>
            </w:tcBorders>
            <w:shd w:val="clear" w:color="auto" w:fill="auto"/>
            <w:vAlign w:val="center"/>
            <w:hideMark/>
          </w:tcPr>
          <w:p w14:paraId="3A9186E3" w14:textId="77777777" w:rsidR="00716016" w:rsidRPr="00716016" w:rsidRDefault="00A854D0" w:rsidP="00716016">
            <w:pPr>
              <w:autoSpaceDE/>
              <w:autoSpaceDN/>
              <w:adjustRightInd/>
              <w:spacing w:after="0"/>
              <w:jc w:val="left"/>
              <w:rPr>
                <w:rFonts w:eastAsia="Times New Roman" w:cs="Arial"/>
                <w:b/>
                <w:bCs/>
                <w:lang w:eastAsia="en-GB"/>
              </w:rPr>
            </w:pPr>
            <w:r w:rsidRPr="00716016">
              <w:rPr>
                <w:rFonts w:eastAsia="Times New Roman" w:cs="Arial"/>
                <w:b/>
                <w:bCs/>
                <w:lang w:eastAsia="en-GB"/>
              </w:rPr>
              <w:t>Previous position (£m)</w:t>
            </w:r>
          </w:p>
        </w:tc>
        <w:tc>
          <w:tcPr>
            <w:tcW w:w="737" w:type="pct"/>
            <w:tcBorders>
              <w:top w:val="nil"/>
              <w:left w:val="nil"/>
              <w:bottom w:val="single" w:sz="8" w:space="0" w:color="auto"/>
              <w:right w:val="single" w:sz="8" w:space="0" w:color="auto"/>
            </w:tcBorders>
            <w:shd w:val="clear" w:color="auto" w:fill="BFBFBF" w:themeFill="background1" w:themeFillShade="BF"/>
            <w:vAlign w:val="center"/>
            <w:hideMark/>
          </w:tcPr>
          <w:p w14:paraId="7BF08AA7" w14:textId="77777777" w:rsidR="00716016" w:rsidRPr="00716016" w:rsidRDefault="00A854D0" w:rsidP="00716016">
            <w:pPr>
              <w:autoSpaceDE/>
              <w:autoSpaceDN/>
              <w:adjustRightInd/>
              <w:spacing w:after="0"/>
              <w:jc w:val="right"/>
              <w:rPr>
                <w:rFonts w:eastAsia="Times New Roman" w:cs="Arial"/>
                <w:b/>
                <w:bCs/>
                <w:lang w:eastAsia="en-GB"/>
              </w:rPr>
            </w:pPr>
            <w:r w:rsidRPr="00716016">
              <w:rPr>
                <w:rFonts w:eastAsia="Times New Roman" w:cs="Arial"/>
                <w:b/>
                <w:bCs/>
                <w:lang w:eastAsia="en-GB"/>
              </w:rPr>
              <w:t>30.548</w:t>
            </w:r>
          </w:p>
        </w:tc>
        <w:tc>
          <w:tcPr>
            <w:tcW w:w="690"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560420DA" w14:textId="77777777" w:rsidR="00716016" w:rsidRPr="00716016" w:rsidRDefault="00A854D0" w:rsidP="00716016">
            <w:pPr>
              <w:autoSpaceDE/>
              <w:autoSpaceDN/>
              <w:adjustRightInd/>
              <w:spacing w:after="0"/>
              <w:jc w:val="right"/>
              <w:rPr>
                <w:rFonts w:eastAsia="Times New Roman" w:cs="Arial"/>
                <w:b/>
                <w:bCs/>
                <w:lang w:eastAsia="en-GB"/>
              </w:rPr>
            </w:pPr>
            <w:r w:rsidRPr="00716016">
              <w:rPr>
                <w:rFonts w:eastAsia="Times New Roman" w:cs="Arial"/>
                <w:b/>
                <w:bCs/>
                <w:lang w:eastAsia="en-GB"/>
              </w:rPr>
              <w:t>41.349</w:t>
            </w:r>
          </w:p>
        </w:tc>
        <w:tc>
          <w:tcPr>
            <w:tcW w:w="800" w:type="pct"/>
            <w:tcBorders>
              <w:top w:val="nil"/>
              <w:left w:val="nil"/>
              <w:bottom w:val="single" w:sz="8" w:space="0" w:color="auto"/>
              <w:right w:val="single" w:sz="8" w:space="0" w:color="auto"/>
            </w:tcBorders>
            <w:shd w:val="clear" w:color="auto" w:fill="BFBFBF" w:themeFill="background1" w:themeFillShade="BF"/>
            <w:vAlign w:val="center"/>
            <w:hideMark/>
          </w:tcPr>
          <w:p w14:paraId="776D3285" w14:textId="77777777" w:rsidR="00716016" w:rsidRPr="00716016" w:rsidRDefault="00A854D0" w:rsidP="00716016">
            <w:pPr>
              <w:autoSpaceDE/>
              <w:autoSpaceDN/>
              <w:adjustRightInd/>
              <w:spacing w:after="0"/>
              <w:jc w:val="right"/>
              <w:rPr>
                <w:rFonts w:eastAsia="Times New Roman" w:cs="Arial"/>
                <w:b/>
                <w:bCs/>
                <w:lang w:eastAsia="en-GB"/>
              </w:rPr>
            </w:pPr>
            <w:r w:rsidRPr="00716016">
              <w:rPr>
                <w:rFonts w:eastAsia="Times New Roman" w:cs="Arial"/>
                <w:b/>
                <w:bCs/>
                <w:lang w:eastAsia="en-GB"/>
              </w:rPr>
              <w:t> </w:t>
            </w:r>
          </w:p>
        </w:tc>
        <w:tc>
          <w:tcPr>
            <w:tcW w:w="776" w:type="pct"/>
            <w:tcBorders>
              <w:top w:val="nil"/>
              <w:left w:val="nil"/>
              <w:bottom w:val="single" w:sz="8" w:space="0" w:color="auto"/>
              <w:right w:val="single" w:sz="8" w:space="0" w:color="auto"/>
            </w:tcBorders>
            <w:shd w:val="clear" w:color="auto" w:fill="BFBFBF" w:themeFill="background1" w:themeFillShade="BF"/>
            <w:vAlign w:val="center"/>
            <w:hideMark/>
          </w:tcPr>
          <w:p w14:paraId="333804AA" w14:textId="77777777" w:rsidR="00716016" w:rsidRPr="00716016" w:rsidRDefault="00A854D0" w:rsidP="00716016">
            <w:pPr>
              <w:autoSpaceDE/>
              <w:autoSpaceDN/>
              <w:adjustRightInd/>
              <w:spacing w:after="0"/>
              <w:jc w:val="right"/>
              <w:rPr>
                <w:rFonts w:eastAsia="Times New Roman" w:cs="Arial"/>
                <w:b/>
                <w:bCs/>
                <w:lang w:eastAsia="en-GB"/>
              </w:rPr>
            </w:pPr>
            <w:r w:rsidRPr="00716016">
              <w:rPr>
                <w:rFonts w:eastAsia="Times New Roman" w:cs="Arial"/>
                <w:b/>
                <w:bCs/>
                <w:lang w:eastAsia="en-GB"/>
              </w:rPr>
              <w:t> </w:t>
            </w:r>
          </w:p>
        </w:tc>
      </w:tr>
      <w:tr w:rsidR="006C72FB" w14:paraId="2F8D9AE0" w14:textId="77777777" w:rsidTr="0B86641D">
        <w:trPr>
          <w:trHeight w:val="360"/>
        </w:trPr>
        <w:tc>
          <w:tcPr>
            <w:tcW w:w="1997" w:type="pc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34572104" w14:textId="77777777" w:rsidR="00716016" w:rsidRPr="00716016" w:rsidRDefault="00A854D0" w:rsidP="00716016">
            <w:pPr>
              <w:autoSpaceDE/>
              <w:autoSpaceDN/>
              <w:adjustRightInd/>
              <w:spacing w:after="0"/>
              <w:jc w:val="left"/>
              <w:rPr>
                <w:rFonts w:eastAsia="Times New Roman" w:cs="Arial"/>
                <w:b/>
                <w:bCs/>
                <w:lang w:eastAsia="en-GB"/>
              </w:rPr>
            </w:pPr>
            <w:r w:rsidRPr="00716016">
              <w:rPr>
                <w:rFonts w:eastAsia="Times New Roman" w:cs="Arial"/>
                <w:b/>
                <w:bCs/>
                <w:lang w:eastAsia="en-GB"/>
              </w:rPr>
              <w:t>Variance (£m)</w:t>
            </w:r>
          </w:p>
        </w:tc>
        <w:tc>
          <w:tcPr>
            <w:tcW w:w="737" w:type="pct"/>
            <w:tcBorders>
              <w:top w:val="nil"/>
              <w:left w:val="nil"/>
              <w:bottom w:val="single" w:sz="8" w:space="0" w:color="auto"/>
              <w:right w:val="single" w:sz="8" w:space="0" w:color="auto"/>
            </w:tcBorders>
            <w:shd w:val="clear" w:color="auto" w:fill="BFBFBF" w:themeFill="background1" w:themeFillShade="BF"/>
            <w:vAlign w:val="center"/>
            <w:hideMark/>
          </w:tcPr>
          <w:p w14:paraId="0D9A6C40" w14:textId="77777777" w:rsidR="00716016" w:rsidRPr="00716016" w:rsidRDefault="00A854D0" w:rsidP="00716016">
            <w:pPr>
              <w:autoSpaceDE/>
              <w:autoSpaceDN/>
              <w:adjustRightInd/>
              <w:spacing w:after="0"/>
              <w:jc w:val="right"/>
              <w:rPr>
                <w:rFonts w:eastAsia="Times New Roman" w:cs="Arial"/>
                <w:b/>
                <w:bCs/>
                <w:lang w:eastAsia="en-GB"/>
              </w:rPr>
            </w:pPr>
            <w:r w:rsidRPr="00716016">
              <w:rPr>
                <w:rFonts w:eastAsia="Times New Roman" w:cs="Arial"/>
                <w:b/>
                <w:bCs/>
                <w:lang w:eastAsia="en-GB"/>
              </w:rPr>
              <w:t>56.506</w:t>
            </w:r>
          </w:p>
        </w:tc>
        <w:tc>
          <w:tcPr>
            <w:tcW w:w="690" w:type="pct"/>
            <w:tcBorders>
              <w:top w:val="nil"/>
              <w:left w:val="nil"/>
              <w:bottom w:val="single" w:sz="8" w:space="0" w:color="auto"/>
              <w:right w:val="single" w:sz="8" w:space="0" w:color="auto"/>
            </w:tcBorders>
            <w:shd w:val="clear" w:color="auto" w:fill="BFBFBF" w:themeFill="background1" w:themeFillShade="BF"/>
            <w:vAlign w:val="center"/>
            <w:hideMark/>
          </w:tcPr>
          <w:p w14:paraId="783785E6" w14:textId="77777777" w:rsidR="00716016" w:rsidRPr="00716016" w:rsidRDefault="00A854D0" w:rsidP="00716016">
            <w:pPr>
              <w:autoSpaceDE/>
              <w:autoSpaceDN/>
              <w:adjustRightInd/>
              <w:spacing w:after="0"/>
              <w:jc w:val="right"/>
              <w:rPr>
                <w:rFonts w:eastAsia="Times New Roman" w:cs="Arial"/>
                <w:b/>
                <w:bCs/>
                <w:lang w:eastAsia="en-GB"/>
              </w:rPr>
            </w:pPr>
            <w:r w:rsidRPr="00716016">
              <w:rPr>
                <w:rFonts w:eastAsia="Times New Roman" w:cs="Arial"/>
                <w:b/>
                <w:bCs/>
                <w:lang w:eastAsia="en-GB"/>
              </w:rPr>
              <w:t>71.414</w:t>
            </w:r>
          </w:p>
        </w:tc>
        <w:tc>
          <w:tcPr>
            <w:tcW w:w="800" w:type="pct"/>
            <w:tcBorders>
              <w:top w:val="nil"/>
              <w:left w:val="nil"/>
              <w:bottom w:val="single" w:sz="8" w:space="0" w:color="auto"/>
              <w:right w:val="single" w:sz="8" w:space="0" w:color="auto"/>
            </w:tcBorders>
            <w:shd w:val="clear" w:color="auto" w:fill="BFBFBF" w:themeFill="background1" w:themeFillShade="BF"/>
            <w:vAlign w:val="center"/>
            <w:hideMark/>
          </w:tcPr>
          <w:p w14:paraId="0518C0AB" w14:textId="77777777" w:rsidR="00716016" w:rsidRPr="00716016" w:rsidRDefault="00A854D0" w:rsidP="00716016">
            <w:pPr>
              <w:autoSpaceDE/>
              <w:autoSpaceDN/>
              <w:adjustRightInd/>
              <w:spacing w:after="0"/>
              <w:jc w:val="right"/>
              <w:rPr>
                <w:rFonts w:eastAsia="Times New Roman" w:cs="Arial"/>
                <w:b/>
                <w:bCs/>
                <w:lang w:eastAsia="en-GB"/>
              </w:rPr>
            </w:pPr>
            <w:r w:rsidRPr="00716016">
              <w:rPr>
                <w:rFonts w:eastAsia="Times New Roman" w:cs="Arial"/>
                <w:b/>
                <w:bCs/>
                <w:lang w:eastAsia="en-GB"/>
              </w:rPr>
              <w:t>138.812</w:t>
            </w:r>
          </w:p>
        </w:tc>
        <w:tc>
          <w:tcPr>
            <w:tcW w:w="776" w:type="pct"/>
            <w:tcBorders>
              <w:top w:val="nil"/>
              <w:left w:val="nil"/>
              <w:bottom w:val="single" w:sz="8" w:space="0" w:color="auto"/>
              <w:right w:val="single" w:sz="8" w:space="0" w:color="auto"/>
            </w:tcBorders>
            <w:shd w:val="clear" w:color="auto" w:fill="BFBFBF" w:themeFill="background1" w:themeFillShade="BF"/>
            <w:vAlign w:val="center"/>
            <w:hideMark/>
          </w:tcPr>
          <w:p w14:paraId="21A41A31" w14:textId="77777777" w:rsidR="00716016" w:rsidRPr="00716016" w:rsidRDefault="00A854D0" w:rsidP="00716016">
            <w:pPr>
              <w:autoSpaceDE/>
              <w:autoSpaceDN/>
              <w:adjustRightInd/>
              <w:spacing w:after="0"/>
              <w:jc w:val="right"/>
              <w:rPr>
                <w:rFonts w:eastAsia="Times New Roman" w:cs="Arial"/>
                <w:b/>
                <w:bCs/>
                <w:lang w:eastAsia="en-GB"/>
              </w:rPr>
            </w:pPr>
            <w:r w:rsidRPr="00716016">
              <w:rPr>
                <w:rFonts w:eastAsia="Times New Roman" w:cs="Arial"/>
                <w:b/>
                <w:bCs/>
                <w:lang w:eastAsia="en-GB"/>
              </w:rPr>
              <w:t>159.678</w:t>
            </w:r>
          </w:p>
        </w:tc>
      </w:tr>
    </w:tbl>
    <w:p w14:paraId="514201EE" w14:textId="77777777" w:rsidR="00716016" w:rsidRDefault="00716016" w:rsidP="0046463C">
      <w:pPr>
        <w:spacing w:after="0"/>
        <w:rPr>
          <w:rFonts w:cs="Arial"/>
          <w:highlight w:val="yellow"/>
        </w:rPr>
      </w:pPr>
    </w:p>
    <w:p w14:paraId="78445D18" w14:textId="77777777" w:rsidR="00716016" w:rsidRPr="003A755A" w:rsidRDefault="00716016" w:rsidP="0046463C">
      <w:pPr>
        <w:spacing w:after="0"/>
        <w:rPr>
          <w:rFonts w:cs="Arial"/>
          <w:highlight w:val="yellow"/>
        </w:rPr>
      </w:pPr>
    </w:p>
    <w:p w14:paraId="23D63629" w14:textId="77777777" w:rsidR="00F84C80" w:rsidRDefault="00F84C80" w:rsidP="39343541">
      <w:pPr>
        <w:spacing w:after="0"/>
        <w:rPr>
          <w:rFonts w:cs="Arial"/>
        </w:rPr>
      </w:pPr>
    </w:p>
    <w:p w14:paraId="147DB1D5" w14:textId="3E14177F" w:rsidR="0046463C" w:rsidRDefault="00A854D0" w:rsidP="39343541">
      <w:pPr>
        <w:spacing w:after="0"/>
        <w:rPr>
          <w:rFonts w:cs="Arial"/>
        </w:rPr>
      </w:pPr>
      <w:r w:rsidRPr="0B86641D">
        <w:rPr>
          <w:rFonts w:cs="Arial"/>
        </w:rPr>
        <w:lastRenderedPageBreak/>
        <w:t xml:space="preserve">The graph below demonstrates the drivers that make up the changes in the financial </w:t>
      </w:r>
      <w:r w:rsidR="0085264B" w:rsidRPr="0B86641D">
        <w:rPr>
          <w:rFonts w:cs="Arial"/>
        </w:rPr>
        <w:t>deficit</w:t>
      </w:r>
      <w:r w:rsidRPr="0B86641D">
        <w:rPr>
          <w:rFonts w:cs="Arial"/>
        </w:rPr>
        <w:t xml:space="preserve"> of £</w:t>
      </w:r>
      <w:hyperlink r:id="rId17" w:history="1">
        <w:r w:rsidR="0061494B" w:rsidRPr="0B86641D">
          <w:rPr>
            <w:rFonts w:cs="Arial"/>
          </w:rPr>
          <w:t>18.84</w:t>
        </w:r>
        <w:r w:rsidR="0030392E" w:rsidRPr="0B86641D">
          <w:rPr>
            <w:rFonts w:cs="Arial"/>
          </w:rPr>
          <w:t>4m</w:t>
        </w:r>
      </w:hyperlink>
      <w:r w:rsidR="0030392E" w:rsidRPr="0B86641D">
        <w:rPr>
          <w:rStyle w:val="Hyperlink"/>
          <w:u w:val="none"/>
        </w:rPr>
        <w:t xml:space="preserve"> </w:t>
      </w:r>
      <w:r w:rsidRPr="0B86641D">
        <w:rPr>
          <w:rFonts w:cs="Arial"/>
        </w:rPr>
        <w:t>carried forward from 20</w:t>
      </w:r>
      <w:r w:rsidR="009573BD" w:rsidRPr="0B86641D">
        <w:rPr>
          <w:rFonts w:cs="Arial"/>
        </w:rPr>
        <w:t>22/23</w:t>
      </w:r>
      <w:r w:rsidRPr="0B86641D">
        <w:rPr>
          <w:rFonts w:cs="Arial"/>
        </w:rPr>
        <w:t xml:space="preserve"> to the cumulative position of £</w:t>
      </w:r>
      <w:r w:rsidR="00A65D40" w:rsidRPr="0B86641D">
        <w:rPr>
          <w:rFonts w:cs="Arial"/>
        </w:rPr>
        <w:t>159.678</w:t>
      </w:r>
      <w:r w:rsidRPr="0B86641D">
        <w:rPr>
          <w:rFonts w:cs="Arial"/>
        </w:rPr>
        <w:t xml:space="preserve">m in the </w:t>
      </w:r>
      <w:bookmarkStart w:id="3" w:name="_Int_rhLPxguF"/>
      <w:r w:rsidRPr="0B86641D">
        <w:rPr>
          <w:rFonts w:cs="Arial"/>
        </w:rPr>
        <w:t>financial year</w:t>
      </w:r>
      <w:bookmarkEnd w:id="3"/>
      <w:r w:rsidRPr="0B86641D">
        <w:rPr>
          <w:rFonts w:cs="Arial"/>
        </w:rPr>
        <w:t xml:space="preserve"> 202</w:t>
      </w:r>
      <w:r w:rsidR="00D725E5" w:rsidRPr="0B86641D">
        <w:rPr>
          <w:rFonts w:cs="Arial"/>
        </w:rPr>
        <w:t>6</w:t>
      </w:r>
      <w:r w:rsidRPr="0B86641D">
        <w:rPr>
          <w:rFonts w:cs="Arial"/>
        </w:rPr>
        <w:t>/2</w:t>
      </w:r>
      <w:r w:rsidR="00D725E5" w:rsidRPr="0B86641D">
        <w:rPr>
          <w:rFonts w:cs="Arial"/>
        </w:rPr>
        <w:t>7</w:t>
      </w:r>
      <w:r w:rsidRPr="0B86641D">
        <w:rPr>
          <w:rFonts w:cs="Arial"/>
        </w:rPr>
        <w:t xml:space="preserve"> shown in the table above: </w:t>
      </w:r>
    </w:p>
    <w:p w14:paraId="1F635098" w14:textId="0AC8AA4F" w:rsidR="00013E25" w:rsidRDefault="00A854D0" w:rsidP="39343541">
      <w:pPr>
        <w:spacing w:after="0"/>
        <w:rPr>
          <w:rFonts w:cs="Arial"/>
        </w:rPr>
      </w:pPr>
      <w:r w:rsidRPr="001B1A9B">
        <w:rPr>
          <w:noProof/>
        </w:rPr>
        <w:t xml:space="preserve"> </w:t>
      </w:r>
    </w:p>
    <w:p w14:paraId="6D68A48F" w14:textId="23892222" w:rsidR="00BD0814" w:rsidRDefault="00A854D0" w:rsidP="00BD0814">
      <w:pPr>
        <w:autoSpaceDE/>
        <w:autoSpaceDN/>
        <w:adjustRightInd/>
        <w:spacing w:after="0"/>
        <w:jc w:val="left"/>
        <w:rPr>
          <w:rFonts w:ascii="Times New Roman" w:eastAsia="Times New Roman" w:hAnsi="Times New Roman" w:cs="Times New Roman"/>
          <w:color w:val="auto"/>
          <w:lang w:eastAsia="en-GB"/>
        </w:rPr>
      </w:pPr>
      <w:r>
        <w:rPr>
          <w:rFonts w:ascii="Times New Roman" w:eastAsia="Times New Roman" w:hAnsi="Times New Roman" w:cs="Times New Roman"/>
          <w:noProof/>
          <w:color w:val="auto"/>
          <w:lang w:eastAsia="en-GB"/>
        </w:rPr>
        <w:drawing>
          <wp:inline distT="0" distB="0" distL="0" distR="0" wp14:anchorId="77FF9E06" wp14:editId="245E4DF5">
            <wp:extent cx="5731510" cy="3885499"/>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395454" name="Picture 2"/>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731510" cy="3885499"/>
                    </a:xfrm>
                    <a:prstGeom prst="rect">
                      <a:avLst/>
                    </a:prstGeom>
                    <a:noFill/>
                  </pic:spPr>
                </pic:pic>
              </a:graphicData>
            </a:graphic>
          </wp:inline>
        </w:drawing>
      </w:r>
    </w:p>
    <w:p w14:paraId="2FDFC457" w14:textId="6BE88042" w:rsidR="00525F55" w:rsidRDefault="00525F55" w:rsidP="00BD0814">
      <w:pPr>
        <w:autoSpaceDE/>
        <w:autoSpaceDN/>
        <w:adjustRightInd/>
        <w:spacing w:after="0"/>
        <w:jc w:val="left"/>
        <w:rPr>
          <w:rFonts w:ascii="Times New Roman" w:eastAsia="Times New Roman" w:hAnsi="Times New Roman" w:cs="Times New Roman"/>
          <w:color w:val="auto"/>
          <w:lang w:eastAsia="en-GB"/>
        </w:rPr>
      </w:pPr>
    </w:p>
    <w:p w14:paraId="57C03E60" w14:textId="7E27E024" w:rsidR="00525F55" w:rsidRDefault="00525F55" w:rsidP="00BD0814">
      <w:pPr>
        <w:autoSpaceDE/>
        <w:autoSpaceDN/>
        <w:adjustRightInd/>
        <w:spacing w:after="0"/>
        <w:jc w:val="left"/>
        <w:rPr>
          <w:rFonts w:ascii="Times New Roman" w:eastAsia="Times New Roman" w:hAnsi="Times New Roman" w:cs="Times New Roman"/>
          <w:color w:val="auto"/>
          <w:lang w:eastAsia="en-GB"/>
        </w:rPr>
      </w:pPr>
    </w:p>
    <w:p w14:paraId="5D4D75CB" w14:textId="3BB36CFB" w:rsidR="0046463C" w:rsidRPr="00BD0814" w:rsidRDefault="00A854D0" w:rsidP="00BD0814">
      <w:pPr>
        <w:autoSpaceDE/>
        <w:autoSpaceDN/>
        <w:adjustRightInd/>
        <w:spacing w:after="0"/>
        <w:jc w:val="left"/>
        <w:rPr>
          <w:rFonts w:ascii="Times New Roman" w:eastAsia="Times New Roman" w:hAnsi="Times New Roman" w:cs="Times New Roman"/>
          <w:color w:val="auto"/>
          <w:lang w:eastAsia="en-GB"/>
        </w:rPr>
      </w:pPr>
      <w:r w:rsidRPr="0030392E">
        <w:rPr>
          <w:rFonts w:cs="Arial"/>
          <w:b/>
        </w:rPr>
        <w:t>2. Funding</w:t>
      </w:r>
    </w:p>
    <w:p w14:paraId="7FACC349" w14:textId="77777777" w:rsidR="0046463C" w:rsidRDefault="0046463C" w:rsidP="0046463C">
      <w:pPr>
        <w:tabs>
          <w:tab w:val="left" w:pos="567"/>
          <w:tab w:val="left" w:pos="1134"/>
        </w:tabs>
        <w:spacing w:after="0"/>
        <w:rPr>
          <w:rFonts w:cs="Arial"/>
          <w:b/>
          <w:highlight w:val="yellow"/>
        </w:rPr>
      </w:pPr>
    </w:p>
    <w:p w14:paraId="04E18676" w14:textId="59352AA9" w:rsidR="00E239C5" w:rsidRPr="00035461" w:rsidRDefault="00A854D0" w:rsidP="0046463C">
      <w:pPr>
        <w:tabs>
          <w:tab w:val="left" w:pos="567"/>
          <w:tab w:val="left" w:pos="1134"/>
        </w:tabs>
        <w:spacing w:after="0"/>
        <w:rPr>
          <w:rFonts w:eastAsia="Arial Nova" w:cs="Arial"/>
          <w:bCs/>
        </w:rPr>
      </w:pPr>
      <w:r w:rsidRPr="00035461">
        <w:rPr>
          <w:rFonts w:eastAsia="Arial Nova" w:cs="Arial"/>
          <w:bCs/>
        </w:rPr>
        <w:t xml:space="preserve">Whilst a multi-year Spending Review was initially announced, </w:t>
      </w:r>
      <w:r w:rsidR="00533EB4">
        <w:rPr>
          <w:rFonts w:eastAsia="Arial Nova" w:cs="Arial"/>
          <w:bCs/>
        </w:rPr>
        <w:t xml:space="preserve">a one-year settlement was </w:t>
      </w:r>
      <w:r w:rsidR="00035461">
        <w:rPr>
          <w:rFonts w:eastAsia="Arial Nova" w:cs="Arial"/>
          <w:bCs/>
        </w:rPr>
        <w:t>ultimately</w:t>
      </w:r>
      <w:r w:rsidR="00990F8D">
        <w:rPr>
          <w:rFonts w:eastAsia="Arial Nova" w:cs="Arial"/>
          <w:bCs/>
        </w:rPr>
        <w:t xml:space="preserve"> provided for </w:t>
      </w:r>
      <w:r w:rsidRPr="00035461">
        <w:rPr>
          <w:rFonts w:eastAsia="Arial Nova" w:cs="Arial"/>
          <w:bCs/>
        </w:rPr>
        <w:t>2022/23</w:t>
      </w:r>
      <w:r w:rsidR="009067D9">
        <w:rPr>
          <w:rFonts w:eastAsia="Arial Nova" w:cs="Arial"/>
          <w:bCs/>
        </w:rPr>
        <w:t xml:space="preserve"> with an expectation now for a two-year rollover settlement for 2023/24 to 2024/25</w:t>
      </w:r>
      <w:r w:rsidR="00F46636" w:rsidRPr="00035461">
        <w:rPr>
          <w:rFonts w:eastAsia="Arial Nova" w:cs="Arial"/>
        </w:rPr>
        <w:t>. A</w:t>
      </w:r>
      <w:r w:rsidR="00AB7009" w:rsidRPr="00035461">
        <w:rPr>
          <w:rFonts w:eastAsia="Arial Nova" w:cs="Arial"/>
        </w:rPr>
        <w:t>ssumptions</w:t>
      </w:r>
      <w:r w:rsidR="00AB7009" w:rsidRPr="00035461">
        <w:rPr>
          <w:rFonts w:eastAsia="Arial Nova" w:cs="Arial"/>
          <w:bCs/>
        </w:rPr>
        <w:t xml:space="preserve"> have therefore been made based on the 2022/23 finance settlement for funding levels from 2023/24</w:t>
      </w:r>
      <w:r w:rsidR="00990F8D">
        <w:rPr>
          <w:rFonts w:eastAsia="Arial Nova" w:cs="Arial"/>
          <w:bCs/>
        </w:rPr>
        <w:t xml:space="preserve"> </w:t>
      </w:r>
      <w:r w:rsidR="00AB7009" w:rsidRPr="00035461">
        <w:rPr>
          <w:rFonts w:eastAsia="Arial Nova" w:cs="Arial"/>
          <w:bCs/>
        </w:rPr>
        <w:t>-</w:t>
      </w:r>
      <w:r w:rsidR="00990F8D">
        <w:rPr>
          <w:rFonts w:eastAsia="Arial Nova" w:cs="Arial"/>
          <w:bCs/>
        </w:rPr>
        <w:t xml:space="preserve"> </w:t>
      </w:r>
      <w:r w:rsidR="00AB7009" w:rsidRPr="00035461">
        <w:rPr>
          <w:rFonts w:eastAsia="Arial Nova" w:cs="Arial"/>
          <w:bCs/>
        </w:rPr>
        <w:t>202</w:t>
      </w:r>
      <w:r w:rsidR="00E12932" w:rsidRPr="00035461">
        <w:rPr>
          <w:rFonts w:eastAsia="Arial Nova" w:cs="Arial"/>
          <w:bCs/>
        </w:rPr>
        <w:t>6</w:t>
      </w:r>
      <w:r w:rsidR="00AB7009" w:rsidRPr="00035461">
        <w:rPr>
          <w:rFonts w:eastAsia="Arial Nova" w:cs="Arial"/>
          <w:bCs/>
        </w:rPr>
        <w:t>/</w:t>
      </w:r>
      <w:r w:rsidR="00E12932" w:rsidRPr="00035461">
        <w:rPr>
          <w:rFonts w:eastAsia="Arial Nova" w:cs="Arial"/>
          <w:bCs/>
        </w:rPr>
        <w:t>27</w:t>
      </w:r>
      <w:r w:rsidR="00FC269B" w:rsidRPr="00035461">
        <w:rPr>
          <w:rFonts w:eastAsia="Arial Nova" w:cs="Arial"/>
        </w:rPr>
        <w:t>.</w:t>
      </w:r>
    </w:p>
    <w:p w14:paraId="6623FEA2" w14:textId="0C5B3C19" w:rsidR="004A6016" w:rsidRDefault="004A6016" w:rsidP="0046463C">
      <w:pPr>
        <w:tabs>
          <w:tab w:val="left" w:pos="567"/>
          <w:tab w:val="left" w:pos="1134"/>
        </w:tabs>
        <w:spacing w:after="0"/>
        <w:rPr>
          <w:rFonts w:cs="Arial"/>
          <w:b/>
        </w:rPr>
      </w:pPr>
    </w:p>
    <w:p w14:paraId="32730C59" w14:textId="0CF607BD" w:rsidR="0046463C" w:rsidRPr="007119B7" w:rsidRDefault="00A854D0" w:rsidP="0046463C">
      <w:pPr>
        <w:numPr>
          <w:ilvl w:val="0"/>
          <w:numId w:val="45"/>
        </w:numPr>
        <w:tabs>
          <w:tab w:val="left" w:pos="567"/>
          <w:tab w:val="left" w:pos="1134"/>
        </w:tabs>
        <w:spacing w:after="0"/>
        <w:ind w:left="567" w:hanging="207"/>
        <w:contextualSpacing/>
        <w:rPr>
          <w:rFonts w:cs="Arial"/>
        </w:rPr>
      </w:pPr>
      <w:r w:rsidRPr="007119B7">
        <w:rPr>
          <w:rFonts w:cs="Arial"/>
        </w:rPr>
        <w:t>A 1</w:t>
      </w:r>
      <w:r w:rsidR="00DF07BE">
        <w:rPr>
          <w:rFonts w:cs="Arial"/>
        </w:rPr>
        <w:t>.7</w:t>
      </w:r>
      <w:r w:rsidRPr="007119B7">
        <w:rPr>
          <w:rFonts w:cs="Arial"/>
        </w:rPr>
        <w:t xml:space="preserve">% increase in council tax base has been assumed </w:t>
      </w:r>
      <w:r w:rsidR="00D43868">
        <w:rPr>
          <w:rFonts w:cs="Arial"/>
        </w:rPr>
        <w:t>throughout the 4</w:t>
      </w:r>
      <w:r w:rsidR="00D43868" w:rsidRPr="4B14A820">
        <w:rPr>
          <w:rFonts w:cs="Arial"/>
        </w:rPr>
        <w:t>-</w:t>
      </w:r>
      <w:r w:rsidR="00D43868">
        <w:rPr>
          <w:rFonts w:cs="Arial"/>
        </w:rPr>
        <w:t xml:space="preserve">year </w:t>
      </w:r>
      <w:r w:rsidR="00D43868" w:rsidRPr="2EE2CAB0">
        <w:rPr>
          <w:rFonts w:cs="Arial"/>
        </w:rPr>
        <w:t>strategy</w:t>
      </w:r>
      <w:r w:rsidR="005F28BA" w:rsidRPr="007119B7">
        <w:rPr>
          <w:rFonts w:cs="Arial"/>
        </w:rPr>
        <w:t>.</w:t>
      </w:r>
    </w:p>
    <w:p w14:paraId="02AD7699" w14:textId="667A878A" w:rsidR="0046463C" w:rsidRPr="007119B7" w:rsidRDefault="00A854D0" w:rsidP="0046463C">
      <w:pPr>
        <w:numPr>
          <w:ilvl w:val="0"/>
          <w:numId w:val="45"/>
        </w:numPr>
        <w:tabs>
          <w:tab w:val="left" w:pos="567"/>
          <w:tab w:val="left" w:pos="1134"/>
        </w:tabs>
        <w:spacing w:after="0"/>
        <w:ind w:left="567" w:hanging="207"/>
        <w:contextualSpacing/>
        <w:rPr>
          <w:rFonts w:cs="Arial"/>
        </w:rPr>
      </w:pPr>
      <w:r w:rsidRPr="007119B7">
        <w:rPr>
          <w:rFonts w:cs="Arial"/>
        </w:rPr>
        <w:t xml:space="preserve">Council tax increases of </w:t>
      </w:r>
      <w:r w:rsidR="00FF1429" w:rsidRPr="007119B7">
        <w:rPr>
          <w:rFonts w:cs="Arial"/>
        </w:rPr>
        <w:t>2</w:t>
      </w:r>
      <w:r w:rsidRPr="007119B7">
        <w:rPr>
          <w:rFonts w:cs="Arial"/>
        </w:rPr>
        <w:t xml:space="preserve">.99% </w:t>
      </w:r>
      <w:r w:rsidR="00066276">
        <w:rPr>
          <w:rFonts w:cs="Arial"/>
        </w:rPr>
        <w:t xml:space="preserve">have been </w:t>
      </w:r>
      <w:r w:rsidR="00066276" w:rsidRPr="4B14A820">
        <w:rPr>
          <w:rFonts w:cs="Arial"/>
        </w:rPr>
        <w:t>a</w:t>
      </w:r>
      <w:r w:rsidRPr="4B14A820">
        <w:rPr>
          <w:rFonts w:cs="Arial"/>
        </w:rPr>
        <w:t>pplied</w:t>
      </w:r>
      <w:r w:rsidRPr="007119B7">
        <w:rPr>
          <w:rFonts w:cs="Arial"/>
        </w:rPr>
        <w:t xml:space="preserve"> to 20</w:t>
      </w:r>
      <w:r w:rsidR="00066276">
        <w:rPr>
          <w:rFonts w:cs="Arial"/>
        </w:rPr>
        <w:t>23/24 onwards</w:t>
      </w:r>
      <w:r w:rsidR="002B76D7">
        <w:rPr>
          <w:rFonts w:cs="Arial"/>
        </w:rPr>
        <w:t xml:space="preserve"> with 1.99% normal increase and 1% adult social care precept</w:t>
      </w:r>
      <w:r w:rsidR="00427B1B">
        <w:rPr>
          <w:rFonts w:cs="Arial"/>
        </w:rPr>
        <w:t>.</w:t>
      </w:r>
      <w:r w:rsidR="00066276">
        <w:rPr>
          <w:rFonts w:cs="Arial"/>
        </w:rPr>
        <w:t xml:space="preserve"> </w:t>
      </w:r>
    </w:p>
    <w:p w14:paraId="0DD1DC28" w14:textId="05805F69" w:rsidR="00FF1429" w:rsidRPr="007C5B96" w:rsidRDefault="00A854D0" w:rsidP="0046463C">
      <w:pPr>
        <w:numPr>
          <w:ilvl w:val="0"/>
          <w:numId w:val="45"/>
        </w:numPr>
        <w:tabs>
          <w:tab w:val="left" w:pos="567"/>
          <w:tab w:val="left" w:pos="1134"/>
        </w:tabs>
        <w:spacing w:after="0"/>
        <w:ind w:left="567" w:hanging="207"/>
        <w:contextualSpacing/>
        <w:rPr>
          <w:rFonts w:cs="Arial"/>
        </w:rPr>
      </w:pPr>
      <w:r w:rsidRPr="007C5B96">
        <w:rPr>
          <w:rFonts w:cs="Arial"/>
        </w:rPr>
        <w:t xml:space="preserve">Assumption that the new model for business rates is implemented in </w:t>
      </w:r>
      <w:r w:rsidR="004250DB" w:rsidRPr="007C5B96">
        <w:rPr>
          <w:rFonts w:cs="Arial"/>
        </w:rPr>
        <w:t>20</w:t>
      </w:r>
      <w:r w:rsidR="00556133">
        <w:rPr>
          <w:rFonts w:cs="Arial"/>
        </w:rPr>
        <w:t>2</w:t>
      </w:r>
      <w:r w:rsidR="009067D9">
        <w:rPr>
          <w:rFonts w:cs="Arial"/>
        </w:rPr>
        <w:t>5</w:t>
      </w:r>
      <w:r w:rsidR="00556133">
        <w:rPr>
          <w:rFonts w:cs="Arial"/>
        </w:rPr>
        <w:t>/</w:t>
      </w:r>
      <w:r w:rsidR="00556133" w:rsidRPr="248207B2">
        <w:rPr>
          <w:rFonts w:cs="Arial"/>
        </w:rPr>
        <w:t>2</w:t>
      </w:r>
      <w:r w:rsidR="009067D9">
        <w:rPr>
          <w:rFonts w:cs="Arial"/>
        </w:rPr>
        <w:t>6</w:t>
      </w:r>
      <w:r w:rsidR="004250DB" w:rsidRPr="007C5B96">
        <w:rPr>
          <w:rFonts w:cs="Arial"/>
        </w:rPr>
        <w:t>,</w:t>
      </w:r>
      <w:r w:rsidRPr="007C5B96">
        <w:rPr>
          <w:rFonts w:cs="Arial"/>
        </w:rPr>
        <w:t xml:space="preserve"> but currently assuming the impact is cost neutral. </w:t>
      </w:r>
    </w:p>
    <w:p w14:paraId="53AB6AE7" w14:textId="1FC2D28D" w:rsidR="0046463C" w:rsidRPr="007C5B96" w:rsidRDefault="00A854D0" w:rsidP="0046463C">
      <w:pPr>
        <w:numPr>
          <w:ilvl w:val="0"/>
          <w:numId w:val="45"/>
        </w:numPr>
        <w:tabs>
          <w:tab w:val="left" w:pos="567"/>
          <w:tab w:val="left" w:pos="1134"/>
        </w:tabs>
        <w:spacing w:after="0"/>
        <w:ind w:left="567" w:hanging="207"/>
        <w:contextualSpacing/>
        <w:rPr>
          <w:rFonts w:cs="Arial"/>
        </w:rPr>
      </w:pPr>
      <w:r w:rsidRPr="007C5B96">
        <w:rPr>
          <w:rFonts w:cs="Arial"/>
        </w:rPr>
        <w:t xml:space="preserve">Growth of 0.5% assumed for business rates in all future years. </w:t>
      </w:r>
    </w:p>
    <w:p w14:paraId="7230F6E9" w14:textId="4B62B3CE" w:rsidR="0046463C" w:rsidRPr="007C5B96" w:rsidRDefault="00A854D0" w:rsidP="0046463C">
      <w:pPr>
        <w:numPr>
          <w:ilvl w:val="0"/>
          <w:numId w:val="45"/>
        </w:numPr>
        <w:tabs>
          <w:tab w:val="left" w:pos="567"/>
          <w:tab w:val="left" w:pos="1134"/>
        </w:tabs>
        <w:spacing w:after="0"/>
        <w:ind w:left="567" w:hanging="207"/>
        <w:contextualSpacing/>
        <w:rPr>
          <w:rFonts w:cs="Arial"/>
        </w:rPr>
      </w:pPr>
      <w:r w:rsidRPr="007C5B96">
        <w:rPr>
          <w:rFonts w:cs="Arial"/>
        </w:rPr>
        <w:t xml:space="preserve">Revenue support grant will </w:t>
      </w:r>
      <w:r w:rsidR="00FC269B" w:rsidRPr="44354FB4">
        <w:rPr>
          <w:rFonts w:cs="Arial"/>
        </w:rPr>
        <w:t>continue</w:t>
      </w:r>
      <w:r w:rsidRPr="007C5B96">
        <w:rPr>
          <w:rFonts w:cs="Arial"/>
        </w:rPr>
        <w:t xml:space="preserve"> for the duration of this strategy.</w:t>
      </w:r>
    </w:p>
    <w:p w14:paraId="305AB260" w14:textId="7D2FEE63" w:rsidR="003273B2" w:rsidRDefault="00A854D0" w:rsidP="00961B93">
      <w:pPr>
        <w:numPr>
          <w:ilvl w:val="0"/>
          <w:numId w:val="45"/>
        </w:numPr>
        <w:tabs>
          <w:tab w:val="left" w:pos="567"/>
          <w:tab w:val="left" w:pos="1134"/>
        </w:tabs>
        <w:spacing w:after="0"/>
        <w:ind w:left="567" w:hanging="207"/>
        <w:contextualSpacing/>
        <w:rPr>
          <w:rFonts w:cs="Arial"/>
        </w:rPr>
      </w:pPr>
      <w:r w:rsidRPr="0B86641D">
        <w:rPr>
          <w:rFonts w:cs="Arial"/>
        </w:rPr>
        <w:t xml:space="preserve">Council tax collection fund position is assumed to </w:t>
      </w:r>
      <w:r w:rsidR="009F68D4" w:rsidRPr="0B86641D">
        <w:rPr>
          <w:rFonts w:cs="Arial"/>
        </w:rPr>
        <w:t xml:space="preserve">return to surplus in </w:t>
      </w:r>
      <w:r w:rsidR="0002383B" w:rsidRPr="0B86641D">
        <w:rPr>
          <w:rFonts w:cs="Arial"/>
        </w:rPr>
        <w:t>20</w:t>
      </w:r>
      <w:r w:rsidR="009F68D4" w:rsidRPr="0B86641D">
        <w:rPr>
          <w:rFonts w:cs="Arial"/>
        </w:rPr>
        <w:t>23/24</w:t>
      </w:r>
      <w:r w:rsidR="0097465C" w:rsidRPr="0B86641D">
        <w:rPr>
          <w:rFonts w:cs="Arial"/>
        </w:rPr>
        <w:t xml:space="preserve">, with a £5m </w:t>
      </w:r>
      <w:r w:rsidR="00A817D8" w:rsidRPr="0B86641D">
        <w:rPr>
          <w:rFonts w:cs="Arial"/>
        </w:rPr>
        <w:t xml:space="preserve">surplus built in throughout the strategy. </w:t>
      </w:r>
    </w:p>
    <w:p w14:paraId="5B7D3510" w14:textId="67B269C3" w:rsidR="0046463C" w:rsidRPr="0030392E" w:rsidRDefault="00A854D0" w:rsidP="00961B93">
      <w:pPr>
        <w:numPr>
          <w:ilvl w:val="0"/>
          <w:numId w:val="45"/>
        </w:numPr>
        <w:tabs>
          <w:tab w:val="left" w:pos="567"/>
          <w:tab w:val="left" w:pos="1134"/>
        </w:tabs>
        <w:spacing w:after="0"/>
        <w:ind w:left="567" w:hanging="207"/>
        <w:contextualSpacing/>
        <w:rPr>
          <w:rFonts w:cs="Arial"/>
        </w:rPr>
      </w:pPr>
      <w:r w:rsidRPr="0030392E">
        <w:rPr>
          <w:rFonts w:cs="Arial"/>
        </w:rPr>
        <w:t xml:space="preserve">Social care grant will </w:t>
      </w:r>
      <w:r w:rsidR="003273B2" w:rsidRPr="798B358E">
        <w:rPr>
          <w:rFonts w:cs="Arial"/>
        </w:rPr>
        <w:t>continue</w:t>
      </w:r>
      <w:r w:rsidRPr="0030392E">
        <w:rPr>
          <w:rFonts w:cs="Arial"/>
        </w:rPr>
        <w:t xml:space="preserve"> for the duration of this strategy, including additional grant announced as part of S</w:t>
      </w:r>
      <w:r w:rsidR="00E24FDD">
        <w:rPr>
          <w:rFonts w:cs="Arial"/>
        </w:rPr>
        <w:t xml:space="preserve">pending </w:t>
      </w:r>
      <w:r w:rsidRPr="0030392E">
        <w:rPr>
          <w:rFonts w:cs="Arial"/>
        </w:rPr>
        <w:t>R</w:t>
      </w:r>
      <w:r w:rsidR="00E24FDD">
        <w:rPr>
          <w:rFonts w:cs="Arial"/>
        </w:rPr>
        <w:t xml:space="preserve">eview </w:t>
      </w:r>
      <w:r w:rsidR="00D036AD">
        <w:rPr>
          <w:rFonts w:cs="Arial"/>
        </w:rPr>
        <w:t>20</w:t>
      </w:r>
      <w:r w:rsidRPr="0030392E">
        <w:rPr>
          <w:rFonts w:cs="Arial"/>
        </w:rPr>
        <w:t>2</w:t>
      </w:r>
      <w:r w:rsidR="007C5B96" w:rsidRPr="0030392E">
        <w:rPr>
          <w:rFonts w:cs="Arial"/>
        </w:rPr>
        <w:t>1</w:t>
      </w:r>
      <w:r w:rsidRPr="0030392E">
        <w:rPr>
          <w:rFonts w:cs="Arial"/>
        </w:rPr>
        <w:t xml:space="preserve"> and the </w:t>
      </w:r>
      <w:r w:rsidR="00D036AD">
        <w:rPr>
          <w:rFonts w:cs="Arial"/>
        </w:rPr>
        <w:t>2022/23 final</w:t>
      </w:r>
      <w:r w:rsidRPr="0030392E">
        <w:rPr>
          <w:rFonts w:cs="Arial"/>
        </w:rPr>
        <w:t xml:space="preserve"> settlement. </w:t>
      </w:r>
    </w:p>
    <w:p w14:paraId="7825B8CB" w14:textId="02883A8D" w:rsidR="00AA77EB" w:rsidRPr="00CE599F" w:rsidRDefault="00AA77EB" w:rsidP="1186DAB9">
      <w:pPr>
        <w:tabs>
          <w:tab w:val="left" w:pos="567"/>
          <w:tab w:val="left" w:pos="1134"/>
        </w:tabs>
        <w:spacing w:after="0"/>
        <w:contextualSpacing/>
        <w:rPr>
          <w:rFonts w:cs="Arial"/>
          <w:highlight w:val="yellow"/>
        </w:rPr>
      </w:pPr>
    </w:p>
    <w:p w14:paraId="3EF7E459" w14:textId="356B6E9E" w:rsidR="0046463C" w:rsidRPr="00CE599F" w:rsidRDefault="00A854D0" w:rsidP="0046463C">
      <w:pPr>
        <w:spacing w:after="0"/>
        <w:rPr>
          <w:rFonts w:cs="Arial"/>
        </w:rPr>
      </w:pPr>
      <w:r w:rsidRPr="00CE599F">
        <w:rPr>
          <w:rFonts w:cs="Arial"/>
        </w:rPr>
        <w:t>Table 2</w:t>
      </w:r>
      <w:r w:rsidR="005F28BA" w:rsidRPr="00CE599F">
        <w:rPr>
          <w:rFonts w:cs="Arial"/>
        </w:rPr>
        <w:t xml:space="preserve"> reflects the updated funding position. </w:t>
      </w:r>
    </w:p>
    <w:p w14:paraId="66670554" w14:textId="77777777" w:rsidR="00D15AB6" w:rsidRDefault="00D15AB6" w:rsidP="0046463C">
      <w:pPr>
        <w:spacing w:after="0"/>
        <w:rPr>
          <w:rFonts w:cs="Arial"/>
          <w:b/>
          <w:i/>
          <w:u w:val="single"/>
        </w:rPr>
      </w:pPr>
    </w:p>
    <w:p w14:paraId="680E6DBF" w14:textId="5BEE7763" w:rsidR="0046463C" w:rsidRPr="001542AE" w:rsidRDefault="00A854D0" w:rsidP="0046463C">
      <w:pPr>
        <w:spacing w:after="0"/>
        <w:rPr>
          <w:rFonts w:cs="Arial"/>
          <w:b/>
          <w:i/>
          <w:u w:val="single"/>
        </w:rPr>
      </w:pPr>
      <w:r w:rsidRPr="001542AE">
        <w:rPr>
          <w:rFonts w:cs="Arial"/>
          <w:b/>
          <w:i/>
          <w:u w:val="single"/>
        </w:rPr>
        <w:t>Table 2</w:t>
      </w:r>
    </w:p>
    <w:p w14:paraId="0C952FFA" w14:textId="77777777" w:rsidR="0046463C" w:rsidRPr="003A755A" w:rsidRDefault="0046463C" w:rsidP="0046463C">
      <w:pPr>
        <w:spacing w:after="0"/>
        <w:rPr>
          <w:rFonts w:cs="Arial"/>
          <w:b/>
          <w:i/>
          <w:highlight w:val="yellow"/>
          <w:u w:val="single"/>
        </w:rPr>
      </w:pPr>
    </w:p>
    <w:tbl>
      <w:tblPr>
        <w:tblStyle w:val="TableGrid201"/>
        <w:tblW w:w="8764" w:type="dxa"/>
        <w:jc w:val="center"/>
        <w:tblLook w:val="04A0" w:firstRow="1" w:lastRow="0" w:firstColumn="1" w:lastColumn="0" w:noHBand="0" w:noVBand="1"/>
      </w:tblPr>
      <w:tblGrid>
        <w:gridCol w:w="3174"/>
        <w:gridCol w:w="1508"/>
        <w:gridCol w:w="1508"/>
        <w:gridCol w:w="1287"/>
        <w:gridCol w:w="1287"/>
      </w:tblGrid>
      <w:tr w:rsidR="006C72FB" w14:paraId="31ACF288" w14:textId="26ED3814" w:rsidTr="0B86641D">
        <w:trPr>
          <w:trHeight w:val="425"/>
          <w:jc w:val="center"/>
        </w:trPr>
        <w:tc>
          <w:tcPr>
            <w:tcW w:w="3174" w:type="dxa"/>
            <w:shd w:val="clear" w:color="auto" w:fill="BFBFBF" w:themeFill="background1" w:themeFillShade="BF"/>
            <w:vAlign w:val="center"/>
          </w:tcPr>
          <w:p w14:paraId="525E3966" w14:textId="77777777" w:rsidR="00F10CA0" w:rsidRPr="00861E07" w:rsidRDefault="00F10CA0" w:rsidP="00A20B00">
            <w:pPr>
              <w:rPr>
                <w:rFonts w:eastAsiaTheme="minorHAnsi" w:cs="Arial"/>
              </w:rPr>
            </w:pPr>
          </w:p>
        </w:tc>
        <w:tc>
          <w:tcPr>
            <w:tcW w:w="1508" w:type="dxa"/>
            <w:shd w:val="clear" w:color="auto" w:fill="BFBFBF" w:themeFill="background1" w:themeFillShade="BF"/>
            <w:vAlign w:val="center"/>
          </w:tcPr>
          <w:p w14:paraId="7C0B838A" w14:textId="5A60F794" w:rsidR="00F10CA0" w:rsidRPr="00861E07" w:rsidRDefault="00A854D0" w:rsidP="00A20B00">
            <w:pPr>
              <w:spacing w:after="0"/>
              <w:jc w:val="center"/>
              <w:rPr>
                <w:rFonts w:eastAsiaTheme="minorHAnsi" w:cs="Arial"/>
                <w:b/>
              </w:rPr>
            </w:pPr>
            <w:r w:rsidRPr="00861E07">
              <w:rPr>
                <w:rFonts w:eastAsiaTheme="minorHAnsi" w:cs="Arial"/>
                <w:b/>
              </w:rPr>
              <w:t>2023/24</w:t>
            </w:r>
          </w:p>
          <w:p w14:paraId="60C22E8E" w14:textId="77777777" w:rsidR="00F10CA0" w:rsidRPr="00861E07" w:rsidRDefault="00A854D0" w:rsidP="00A20B00">
            <w:pPr>
              <w:spacing w:after="0"/>
              <w:jc w:val="center"/>
              <w:rPr>
                <w:rFonts w:eastAsiaTheme="minorHAnsi" w:cs="Arial"/>
                <w:b/>
              </w:rPr>
            </w:pPr>
            <w:r w:rsidRPr="00861E07">
              <w:rPr>
                <w:rFonts w:eastAsiaTheme="minorHAnsi" w:cs="Arial"/>
                <w:b/>
              </w:rPr>
              <w:t>£m</w:t>
            </w:r>
          </w:p>
        </w:tc>
        <w:tc>
          <w:tcPr>
            <w:tcW w:w="1508" w:type="dxa"/>
            <w:shd w:val="clear" w:color="auto" w:fill="BFBFBF" w:themeFill="background1" w:themeFillShade="BF"/>
            <w:vAlign w:val="center"/>
          </w:tcPr>
          <w:p w14:paraId="1480ED4F" w14:textId="023AD899" w:rsidR="00F10CA0" w:rsidRPr="00861E07" w:rsidRDefault="00A854D0" w:rsidP="00A20B00">
            <w:pPr>
              <w:spacing w:after="0"/>
              <w:jc w:val="center"/>
              <w:rPr>
                <w:rFonts w:eastAsiaTheme="minorHAnsi" w:cs="Arial"/>
                <w:b/>
              </w:rPr>
            </w:pPr>
            <w:r w:rsidRPr="00861E07">
              <w:rPr>
                <w:rFonts w:eastAsiaTheme="minorHAnsi" w:cs="Arial"/>
                <w:b/>
              </w:rPr>
              <w:t>2024/25</w:t>
            </w:r>
          </w:p>
          <w:p w14:paraId="311C9C82" w14:textId="77777777" w:rsidR="00F10CA0" w:rsidRPr="00861E07" w:rsidRDefault="00A854D0" w:rsidP="00A20B00">
            <w:pPr>
              <w:spacing w:after="0"/>
              <w:jc w:val="center"/>
              <w:rPr>
                <w:rFonts w:eastAsiaTheme="minorHAnsi" w:cs="Arial"/>
                <w:b/>
              </w:rPr>
            </w:pPr>
            <w:r w:rsidRPr="00861E07">
              <w:rPr>
                <w:rFonts w:eastAsiaTheme="minorHAnsi" w:cs="Arial"/>
                <w:b/>
              </w:rPr>
              <w:t>£m</w:t>
            </w:r>
          </w:p>
        </w:tc>
        <w:tc>
          <w:tcPr>
            <w:tcW w:w="1287" w:type="dxa"/>
            <w:shd w:val="clear" w:color="auto" w:fill="BFBFBF" w:themeFill="background1" w:themeFillShade="BF"/>
            <w:vAlign w:val="center"/>
          </w:tcPr>
          <w:p w14:paraId="1A412324" w14:textId="48EED937" w:rsidR="00F10CA0" w:rsidRPr="00861E07" w:rsidRDefault="00A854D0" w:rsidP="00A20B00">
            <w:pPr>
              <w:spacing w:after="0"/>
              <w:jc w:val="center"/>
              <w:rPr>
                <w:rFonts w:eastAsiaTheme="minorHAnsi" w:cs="Arial"/>
                <w:b/>
              </w:rPr>
            </w:pPr>
            <w:r w:rsidRPr="00861E07">
              <w:rPr>
                <w:rFonts w:eastAsiaTheme="minorHAnsi" w:cs="Arial"/>
                <w:b/>
              </w:rPr>
              <w:t>2025/26</w:t>
            </w:r>
          </w:p>
          <w:p w14:paraId="595A77B6" w14:textId="4FEDE608" w:rsidR="00F10CA0" w:rsidRPr="00861E07" w:rsidRDefault="00A854D0" w:rsidP="00A20B00">
            <w:pPr>
              <w:spacing w:after="0"/>
              <w:jc w:val="center"/>
              <w:rPr>
                <w:rFonts w:eastAsiaTheme="minorHAnsi" w:cs="Arial"/>
                <w:b/>
              </w:rPr>
            </w:pPr>
            <w:r w:rsidRPr="00861E07">
              <w:rPr>
                <w:rFonts w:eastAsiaTheme="minorHAnsi" w:cs="Arial"/>
                <w:b/>
              </w:rPr>
              <w:t>£m</w:t>
            </w:r>
          </w:p>
        </w:tc>
        <w:tc>
          <w:tcPr>
            <w:tcW w:w="1287" w:type="dxa"/>
            <w:shd w:val="clear" w:color="auto" w:fill="BFBFBF" w:themeFill="background1" w:themeFillShade="BF"/>
            <w:vAlign w:val="center"/>
          </w:tcPr>
          <w:p w14:paraId="23E70387" w14:textId="77777777" w:rsidR="00F10CA0" w:rsidRPr="00861E07" w:rsidRDefault="00A854D0" w:rsidP="00D15AB6">
            <w:pPr>
              <w:spacing w:after="0"/>
              <w:jc w:val="center"/>
              <w:rPr>
                <w:rFonts w:eastAsiaTheme="minorHAnsi" w:cs="Arial"/>
                <w:b/>
              </w:rPr>
            </w:pPr>
            <w:r w:rsidRPr="00861E07">
              <w:rPr>
                <w:rFonts w:eastAsiaTheme="minorHAnsi" w:cs="Arial"/>
                <w:b/>
              </w:rPr>
              <w:t>2026/27</w:t>
            </w:r>
          </w:p>
          <w:p w14:paraId="758D0F16" w14:textId="563137E6" w:rsidR="001542AE" w:rsidRPr="00861E07" w:rsidRDefault="00A854D0" w:rsidP="00D15AB6">
            <w:pPr>
              <w:spacing w:after="0"/>
              <w:jc w:val="center"/>
              <w:rPr>
                <w:rFonts w:eastAsiaTheme="minorHAnsi" w:cs="Arial"/>
                <w:b/>
              </w:rPr>
            </w:pPr>
            <w:r w:rsidRPr="00861E07">
              <w:rPr>
                <w:rFonts w:eastAsiaTheme="minorHAnsi" w:cs="Arial"/>
                <w:b/>
              </w:rPr>
              <w:t>£m</w:t>
            </w:r>
          </w:p>
        </w:tc>
      </w:tr>
      <w:tr w:rsidR="006C72FB" w14:paraId="145DB9E5" w14:textId="54370D12" w:rsidTr="0B86641D">
        <w:trPr>
          <w:trHeight w:val="425"/>
          <w:jc w:val="center"/>
        </w:trPr>
        <w:tc>
          <w:tcPr>
            <w:tcW w:w="3174" w:type="dxa"/>
            <w:tcBorders>
              <w:top w:val="single" w:sz="4" w:space="0" w:color="auto"/>
              <w:bottom w:val="single" w:sz="4" w:space="0" w:color="auto"/>
              <w:right w:val="single" w:sz="4" w:space="0" w:color="auto"/>
            </w:tcBorders>
            <w:vAlign w:val="center"/>
          </w:tcPr>
          <w:p w14:paraId="52E113F0" w14:textId="77777777" w:rsidR="009E4BD0" w:rsidRPr="00861E07" w:rsidRDefault="00A854D0" w:rsidP="0032286F">
            <w:pPr>
              <w:jc w:val="left"/>
              <w:rPr>
                <w:rFonts w:eastAsiaTheme="minorHAnsi" w:cs="Arial"/>
              </w:rPr>
            </w:pPr>
            <w:r w:rsidRPr="00861E07">
              <w:rPr>
                <w:rFonts w:cs="Arial"/>
              </w:rPr>
              <w:t>Revenue Support Grant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491C199" w14:textId="16AFF3D6" w:rsidR="009E4BD0" w:rsidRPr="009074AC" w:rsidRDefault="00A854D0" w:rsidP="0042704B">
            <w:pPr>
              <w:spacing w:after="0"/>
              <w:jc w:val="right"/>
              <w:rPr>
                <w:rFonts w:cs="Arial"/>
              </w:rPr>
            </w:pPr>
            <w:r w:rsidRPr="009074AC">
              <w:rPr>
                <w:rFonts w:cs="Arial"/>
              </w:rPr>
              <w:t>36.253</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6BCCEFF" w14:textId="2ED73DCD" w:rsidR="009E4BD0" w:rsidRPr="0042704B" w:rsidRDefault="00A854D0" w:rsidP="00861E07">
            <w:pPr>
              <w:spacing w:after="0"/>
              <w:jc w:val="right"/>
              <w:rPr>
                <w:rFonts w:cs="Arial"/>
              </w:rPr>
            </w:pPr>
            <w:r w:rsidRPr="0042704B">
              <w:rPr>
                <w:rFonts w:cs="Arial"/>
              </w:rPr>
              <w:t>37.086</w:t>
            </w:r>
          </w:p>
        </w:tc>
        <w:tc>
          <w:tcPr>
            <w:tcW w:w="1287" w:type="dxa"/>
            <w:tcBorders>
              <w:top w:val="single" w:sz="4" w:space="0" w:color="auto"/>
              <w:left w:val="single" w:sz="4" w:space="0" w:color="auto"/>
              <w:bottom w:val="single" w:sz="4" w:space="0" w:color="auto"/>
              <w:right w:val="single" w:sz="4" w:space="0" w:color="auto"/>
            </w:tcBorders>
            <w:vAlign w:val="center"/>
          </w:tcPr>
          <w:p w14:paraId="640B6B87" w14:textId="126AA0CA" w:rsidR="009E4BD0" w:rsidRPr="00861E07" w:rsidRDefault="00A854D0" w:rsidP="00861E07">
            <w:pPr>
              <w:spacing w:after="0"/>
              <w:jc w:val="right"/>
              <w:rPr>
                <w:rFonts w:cs="Arial"/>
              </w:rPr>
            </w:pPr>
            <w:r w:rsidRPr="00861E07">
              <w:rPr>
                <w:rFonts w:cs="Arial"/>
              </w:rPr>
              <w:t>37.828</w:t>
            </w:r>
          </w:p>
        </w:tc>
        <w:tc>
          <w:tcPr>
            <w:tcW w:w="1287" w:type="dxa"/>
            <w:tcBorders>
              <w:top w:val="single" w:sz="4" w:space="0" w:color="auto"/>
              <w:left w:val="single" w:sz="4" w:space="0" w:color="auto"/>
              <w:bottom w:val="single" w:sz="4" w:space="0" w:color="auto"/>
              <w:right w:val="single" w:sz="4" w:space="0" w:color="auto"/>
            </w:tcBorders>
            <w:vAlign w:val="center"/>
          </w:tcPr>
          <w:p w14:paraId="5EFD515D" w14:textId="1FA72B85" w:rsidR="009E4BD0" w:rsidRPr="00861E07" w:rsidRDefault="00A854D0" w:rsidP="00861E07">
            <w:pPr>
              <w:spacing w:after="0"/>
              <w:jc w:val="right"/>
              <w:rPr>
                <w:rFonts w:cs="Arial"/>
              </w:rPr>
            </w:pPr>
            <w:r w:rsidRPr="00861E07">
              <w:rPr>
                <w:rFonts w:cs="Arial"/>
              </w:rPr>
              <w:t>38.585</w:t>
            </w:r>
          </w:p>
        </w:tc>
      </w:tr>
      <w:tr w:rsidR="006C72FB" w14:paraId="08CA6A9F" w14:textId="59F87EF0" w:rsidTr="0B86641D">
        <w:trPr>
          <w:trHeight w:val="425"/>
          <w:jc w:val="center"/>
        </w:trPr>
        <w:tc>
          <w:tcPr>
            <w:tcW w:w="3174" w:type="dxa"/>
            <w:tcBorders>
              <w:top w:val="single" w:sz="4" w:space="0" w:color="auto"/>
              <w:bottom w:val="single" w:sz="4" w:space="0" w:color="auto"/>
              <w:right w:val="single" w:sz="4" w:space="0" w:color="auto"/>
            </w:tcBorders>
            <w:vAlign w:val="center"/>
            <w:hideMark/>
          </w:tcPr>
          <w:p w14:paraId="6AB154F0" w14:textId="77777777" w:rsidR="00F10CA0" w:rsidRPr="00861E07" w:rsidRDefault="00A854D0" w:rsidP="00AC3C34">
            <w:pPr>
              <w:spacing w:after="0"/>
              <w:jc w:val="left"/>
              <w:rPr>
                <w:rFonts w:eastAsiaTheme="minorHAnsi" w:cs="Arial"/>
                <w:color w:val="auto"/>
              </w:rPr>
            </w:pPr>
            <w:r w:rsidRPr="00861E07">
              <w:rPr>
                <w:rFonts w:cs="Arial"/>
              </w:rPr>
              <w:t>Business Rates</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C41A357" w14:textId="3DEAFB9B" w:rsidR="00F10CA0" w:rsidRPr="00861E07" w:rsidRDefault="00A854D0" w:rsidP="00861E07">
            <w:pPr>
              <w:spacing w:after="0"/>
              <w:jc w:val="right"/>
              <w:rPr>
                <w:rFonts w:cs="Arial"/>
              </w:rPr>
            </w:pPr>
            <w:r w:rsidRPr="00861E07">
              <w:rPr>
                <w:rFonts w:cs="Arial"/>
              </w:rPr>
              <w:t>218.727</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D23FDC0" w14:textId="7E07EAD4" w:rsidR="00F10CA0" w:rsidRPr="00861E07" w:rsidRDefault="00A854D0" w:rsidP="00861E07">
            <w:pPr>
              <w:spacing w:after="0"/>
              <w:jc w:val="right"/>
              <w:rPr>
                <w:rFonts w:cs="Arial"/>
              </w:rPr>
            </w:pPr>
            <w:r w:rsidRPr="00861E07">
              <w:rPr>
                <w:rFonts w:cs="Arial"/>
              </w:rPr>
              <w:t>220.981</w:t>
            </w:r>
          </w:p>
        </w:tc>
        <w:tc>
          <w:tcPr>
            <w:tcW w:w="1287" w:type="dxa"/>
            <w:tcBorders>
              <w:top w:val="single" w:sz="4" w:space="0" w:color="auto"/>
              <w:left w:val="single" w:sz="4" w:space="0" w:color="auto"/>
              <w:bottom w:val="single" w:sz="4" w:space="0" w:color="auto"/>
              <w:right w:val="single" w:sz="4" w:space="0" w:color="auto"/>
            </w:tcBorders>
            <w:vAlign w:val="center"/>
          </w:tcPr>
          <w:p w14:paraId="1B2BA5BA" w14:textId="12C79CB8" w:rsidR="00F10CA0" w:rsidRPr="00861E07" w:rsidRDefault="00A854D0" w:rsidP="00861E07">
            <w:pPr>
              <w:spacing w:after="0"/>
              <w:jc w:val="right"/>
              <w:rPr>
                <w:rFonts w:cs="Arial"/>
              </w:rPr>
            </w:pPr>
            <w:r w:rsidRPr="00861E07">
              <w:rPr>
                <w:rFonts w:cs="Arial"/>
              </w:rPr>
              <w:t>224.497</w:t>
            </w:r>
          </w:p>
        </w:tc>
        <w:tc>
          <w:tcPr>
            <w:tcW w:w="1287" w:type="dxa"/>
            <w:tcBorders>
              <w:top w:val="single" w:sz="4" w:space="0" w:color="auto"/>
              <w:left w:val="single" w:sz="4" w:space="0" w:color="auto"/>
              <w:bottom w:val="single" w:sz="4" w:space="0" w:color="auto"/>
              <w:right w:val="single" w:sz="4" w:space="0" w:color="auto"/>
            </w:tcBorders>
            <w:vAlign w:val="center"/>
          </w:tcPr>
          <w:p w14:paraId="2D2A94EE" w14:textId="5088E714" w:rsidR="00F10CA0" w:rsidRPr="00861E07" w:rsidRDefault="00A854D0" w:rsidP="00861E07">
            <w:pPr>
              <w:spacing w:after="0"/>
              <w:jc w:val="right"/>
              <w:rPr>
                <w:rFonts w:cs="Arial"/>
              </w:rPr>
            </w:pPr>
            <w:r w:rsidRPr="00861E07">
              <w:rPr>
                <w:rFonts w:cs="Arial"/>
              </w:rPr>
              <w:t>228.081</w:t>
            </w:r>
          </w:p>
        </w:tc>
      </w:tr>
      <w:tr w:rsidR="006C72FB" w14:paraId="4B04C239" w14:textId="706BE10F" w:rsidTr="0B86641D">
        <w:trPr>
          <w:trHeight w:val="425"/>
          <w:jc w:val="center"/>
        </w:trPr>
        <w:tc>
          <w:tcPr>
            <w:tcW w:w="3174" w:type="dxa"/>
            <w:tcBorders>
              <w:top w:val="single" w:sz="4" w:space="0" w:color="auto"/>
              <w:bottom w:val="single" w:sz="4" w:space="0" w:color="auto"/>
              <w:right w:val="single" w:sz="4" w:space="0" w:color="auto"/>
            </w:tcBorders>
            <w:shd w:val="clear" w:color="auto" w:fill="auto"/>
            <w:vAlign w:val="center"/>
            <w:hideMark/>
          </w:tcPr>
          <w:p w14:paraId="58690E42" w14:textId="77777777" w:rsidR="00F10CA0" w:rsidRPr="00861E07" w:rsidRDefault="00A854D0" w:rsidP="00AC3C34">
            <w:pPr>
              <w:spacing w:after="0"/>
              <w:jc w:val="left"/>
              <w:rPr>
                <w:rFonts w:eastAsiaTheme="minorHAnsi" w:cs="Arial"/>
                <w:color w:val="auto"/>
              </w:rPr>
            </w:pPr>
            <w:r w:rsidRPr="00861E07">
              <w:rPr>
                <w:rFonts w:cs="Arial"/>
              </w:rPr>
              <w:t>Council Tax</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E0F8D71" w14:textId="2C20FFC3" w:rsidR="00F10CA0" w:rsidRPr="00861E07" w:rsidRDefault="00A854D0" w:rsidP="00AC3C34">
            <w:pPr>
              <w:spacing w:after="0"/>
              <w:jc w:val="right"/>
              <w:rPr>
                <w:rFonts w:cs="Arial"/>
              </w:rPr>
            </w:pPr>
            <w:r w:rsidRPr="00861E07">
              <w:rPr>
                <w:rFonts w:cs="Arial"/>
              </w:rPr>
              <w:t>5</w:t>
            </w:r>
            <w:r w:rsidR="006706BA" w:rsidRPr="00861E07">
              <w:rPr>
                <w:rFonts w:cs="Arial"/>
              </w:rPr>
              <w:t>98.268</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5B20F60" w14:textId="785587C3" w:rsidR="00F10CA0" w:rsidRPr="00861E07" w:rsidRDefault="00A854D0" w:rsidP="00985D22">
            <w:pPr>
              <w:spacing w:after="0"/>
              <w:jc w:val="right"/>
              <w:rPr>
                <w:rFonts w:cs="Arial"/>
              </w:rPr>
            </w:pPr>
            <w:r w:rsidRPr="00861E07">
              <w:rPr>
                <w:rFonts w:cs="Arial"/>
              </w:rPr>
              <w:t>626.631</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03705414" w14:textId="1770A2F4" w:rsidR="00F10CA0" w:rsidRPr="00861E07" w:rsidRDefault="00A854D0" w:rsidP="00985D22">
            <w:pPr>
              <w:spacing w:after="0"/>
              <w:jc w:val="right"/>
              <w:rPr>
                <w:rFonts w:cs="Arial"/>
              </w:rPr>
            </w:pPr>
            <w:r w:rsidRPr="00861E07">
              <w:rPr>
                <w:rFonts w:cs="Arial"/>
              </w:rPr>
              <w:t>656.338</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5A5DE14" w14:textId="327D70E0" w:rsidR="00F10CA0" w:rsidRPr="00861E07" w:rsidRDefault="00A854D0" w:rsidP="00985D22">
            <w:pPr>
              <w:spacing w:after="0"/>
              <w:jc w:val="right"/>
              <w:rPr>
                <w:rFonts w:cs="Arial"/>
              </w:rPr>
            </w:pPr>
            <w:r w:rsidRPr="00861E07">
              <w:rPr>
                <w:rFonts w:cs="Arial"/>
              </w:rPr>
              <w:t>687.454</w:t>
            </w:r>
          </w:p>
        </w:tc>
      </w:tr>
      <w:tr w:rsidR="006C72FB" w14:paraId="616F9080" w14:textId="77777777" w:rsidTr="0B86641D">
        <w:trPr>
          <w:trHeight w:val="425"/>
          <w:jc w:val="center"/>
        </w:trPr>
        <w:tc>
          <w:tcPr>
            <w:tcW w:w="3174" w:type="dxa"/>
            <w:tcBorders>
              <w:top w:val="single" w:sz="4" w:space="0" w:color="auto"/>
              <w:bottom w:val="single" w:sz="4" w:space="0" w:color="auto"/>
              <w:right w:val="single" w:sz="4" w:space="0" w:color="auto"/>
            </w:tcBorders>
            <w:shd w:val="clear" w:color="auto" w:fill="auto"/>
            <w:vAlign w:val="center"/>
          </w:tcPr>
          <w:p w14:paraId="76C01781" w14:textId="0B54A8FE" w:rsidR="00321192" w:rsidRPr="00861E07" w:rsidRDefault="00A854D0" w:rsidP="00AC3C34">
            <w:pPr>
              <w:spacing w:after="0"/>
              <w:jc w:val="left"/>
              <w:rPr>
                <w:rFonts w:cs="Arial"/>
              </w:rPr>
            </w:pPr>
            <w:r>
              <w:rPr>
                <w:rFonts w:cs="Arial"/>
              </w:rPr>
              <w:t>New Homes Bonus</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4252A7E6" w14:textId="05C9E3CC" w:rsidR="00321192" w:rsidRPr="00861E07" w:rsidRDefault="00A854D0" w:rsidP="00AC3C34">
            <w:pPr>
              <w:spacing w:after="0"/>
              <w:jc w:val="right"/>
              <w:rPr>
                <w:rFonts w:cs="Arial"/>
              </w:rPr>
            </w:pPr>
            <w:r>
              <w:rPr>
                <w:rFonts w:cs="Arial"/>
              </w:rPr>
              <w:t>1.629</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7FFFC17" w14:textId="34E4F522" w:rsidR="00321192" w:rsidRPr="00861E07" w:rsidRDefault="00A854D0" w:rsidP="00985D22">
            <w:pPr>
              <w:spacing w:after="0"/>
              <w:jc w:val="right"/>
              <w:rPr>
                <w:rFonts w:cs="Arial"/>
              </w:rPr>
            </w:pPr>
            <w:r>
              <w:rPr>
                <w:rFonts w:cs="Arial"/>
              </w:rPr>
              <w:t>1.629</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327700E2" w14:textId="319E6C1F" w:rsidR="00321192" w:rsidRPr="00861E07" w:rsidRDefault="00A854D0" w:rsidP="00985D22">
            <w:pPr>
              <w:spacing w:after="0"/>
              <w:jc w:val="right"/>
              <w:rPr>
                <w:rFonts w:cs="Arial"/>
              </w:rPr>
            </w:pPr>
            <w:r>
              <w:rPr>
                <w:rFonts w:cs="Arial"/>
              </w:rPr>
              <w:t>1.629</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1A69A1C4" w14:textId="4DB13101" w:rsidR="00321192" w:rsidRPr="00861E07" w:rsidRDefault="00A854D0" w:rsidP="00985D22">
            <w:pPr>
              <w:spacing w:after="0"/>
              <w:jc w:val="right"/>
              <w:rPr>
                <w:rFonts w:cs="Arial"/>
              </w:rPr>
            </w:pPr>
            <w:r>
              <w:rPr>
                <w:rFonts w:cs="Arial"/>
              </w:rPr>
              <w:t>1.629</w:t>
            </w:r>
          </w:p>
        </w:tc>
      </w:tr>
      <w:tr w:rsidR="006C72FB" w14:paraId="544499C0" w14:textId="7525B1E8" w:rsidTr="0B86641D">
        <w:trPr>
          <w:trHeight w:val="425"/>
          <w:jc w:val="center"/>
        </w:trPr>
        <w:tc>
          <w:tcPr>
            <w:tcW w:w="3174" w:type="dxa"/>
            <w:tcBorders>
              <w:top w:val="single" w:sz="4" w:space="0" w:color="auto"/>
              <w:bottom w:val="single" w:sz="4" w:space="0" w:color="auto"/>
              <w:right w:val="single" w:sz="4" w:space="0" w:color="auto"/>
            </w:tcBorders>
            <w:vAlign w:val="center"/>
            <w:hideMark/>
          </w:tcPr>
          <w:p w14:paraId="3DF1CD15" w14:textId="77777777" w:rsidR="00F10CA0" w:rsidRPr="00861E07" w:rsidRDefault="00A854D0" w:rsidP="0032286F">
            <w:pPr>
              <w:jc w:val="left"/>
              <w:rPr>
                <w:rFonts w:eastAsiaTheme="minorHAnsi" w:cs="Arial"/>
                <w:color w:val="auto"/>
                <w:highlight w:val="yellow"/>
              </w:rPr>
            </w:pPr>
            <w:r w:rsidRPr="00861E07">
              <w:rPr>
                <w:rFonts w:cs="Arial"/>
              </w:rPr>
              <w:t>Improved Better Care Fund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79FC06C" w14:textId="5A12D9E6" w:rsidR="00F10CA0" w:rsidRPr="00861E07" w:rsidRDefault="00A854D0" w:rsidP="0042704B">
            <w:pPr>
              <w:spacing w:after="0"/>
              <w:jc w:val="right"/>
              <w:rPr>
                <w:rFonts w:cs="Arial"/>
              </w:rPr>
            </w:pPr>
            <w:r w:rsidRPr="00861E07">
              <w:rPr>
                <w:rFonts w:cs="Arial"/>
              </w:rPr>
              <w:t>47.145</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6A5DE0D" w14:textId="0FB08F70" w:rsidR="00F10CA0" w:rsidRPr="00861E07" w:rsidRDefault="00A854D0" w:rsidP="00861E07">
            <w:pPr>
              <w:spacing w:after="0"/>
              <w:jc w:val="right"/>
              <w:rPr>
                <w:rFonts w:cs="Arial"/>
              </w:rPr>
            </w:pPr>
            <w:r w:rsidRPr="00861E07">
              <w:rPr>
                <w:rFonts w:cs="Arial"/>
              </w:rPr>
              <w:t>47.145</w:t>
            </w:r>
          </w:p>
        </w:tc>
        <w:tc>
          <w:tcPr>
            <w:tcW w:w="1287" w:type="dxa"/>
            <w:tcBorders>
              <w:top w:val="single" w:sz="4" w:space="0" w:color="auto"/>
              <w:left w:val="single" w:sz="4" w:space="0" w:color="auto"/>
              <w:bottom w:val="single" w:sz="4" w:space="0" w:color="auto"/>
              <w:right w:val="single" w:sz="4" w:space="0" w:color="auto"/>
            </w:tcBorders>
            <w:vAlign w:val="center"/>
          </w:tcPr>
          <w:p w14:paraId="0698D326" w14:textId="0BA397CF" w:rsidR="00F10CA0" w:rsidRPr="00861E07" w:rsidRDefault="00A854D0" w:rsidP="00861E07">
            <w:pPr>
              <w:spacing w:after="0"/>
              <w:jc w:val="right"/>
              <w:rPr>
                <w:rFonts w:cs="Arial"/>
              </w:rPr>
            </w:pPr>
            <w:r w:rsidRPr="00861E07">
              <w:rPr>
                <w:rFonts w:cs="Arial"/>
              </w:rPr>
              <w:t>47.145</w:t>
            </w:r>
          </w:p>
        </w:tc>
        <w:tc>
          <w:tcPr>
            <w:tcW w:w="1287" w:type="dxa"/>
            <w:tcBorders>
              <w:top w:val="single" w:sz="4" w:space="0" w:color="auto"/>
              <w:left w:val="single" w:sz="4" w:space="0" w:color="auto"/>
              <w:bottom w:val="single" w:sz="4" w:space="0" w:color="auto"/>
              <w:right w:val="single" w:sz="4" w:space="0" w:color="auto"/>
            </w:tcBorders>
            <w:vAlign w:val="center"/>
          </w:tcPr>
          <w:p w14:paraId="422703EC" w14:textId="3596ACBE" w:rsidR="00F10CA0" w:rsidRPr="00702877" w:rsidRDefault="00A854D0" w:rsidP="00861E07">
            <w:pPr>
              <w:spacing w:after="0"/>
              <w:jc w:val="right"/>
              <w:rPr>
                <w:rFonts w:cs="Arial"/>
              </w:rPr>
            </w:pPr>
            <w:r w:rsidRPr="00861E07">
              <w:rPr>
                <w:rFonts w:cs="Arial"/>
              </w:rPr>
              <w:t>47.145</w:t>
            </w:r>
          </w:p>
        </w:tc>
      </w:tr>
      <w:tr w:rsidR="006C72FB" w14:paraId="08E82321" w14:textId="67659240" w:rsidTr="0B86641D">
        <w:trPr>
          <w:trHeight w:val="425"/>
          <w:jc w:val="center"/>
        </w:trPr>
        <w:tc>
          <w:tcPr>
            <w:tcW w:w="3174" w:type="dxa"/>
            <w:tcBorders>
              <w:top w:val="single" w:sz="4" w:space="0" w:color="auto"/>
              <w:bottom w:val="single" w:sz="4" w:space="0" w:color="auto"/>
              <w:right w:val="single" w:sz="4" w:space="0" w:color="auto"/>
            </w:tcBorders>
            <w:vAlign w:val="bottom"/>
          </w:tcPr>
          <w:p w14:paraId="66CB2C7F" w14:textId="77777777" w:rsidR="00F10CA0" w:rsidRPr="00702877" w:rsidRDefault="00A854D0" w:rsidP="00A20B00">
            <w:pPr>
              <w:rPr>
                <w:rFonts w:eastAsiaTheme="minorHAnsi" w:cs="Arial"/>
                <w:color w:val="auto"/>
              </w:rPr>
            </w:pPr>
            <w:r w:rsidRPr="00702877">
              <w:rPr>
                <w:rFonts w:cs="Arial"/>
              </w:rPr>
              <w:t>Social Care Support Grant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B28A63E" w14:textId="167EF006" w:rsidR="00F10CA0" w:rsidRPr="00702877" w:rsidRDefault="00A854D0" w:rsidP="0042704B">
            <w:pPr>
              <w:spacing w:after="0"/>
              <w:jc w:val="right"/>
              <w:rPr>
                <w:rFonts w:cs="Arial"/>
              </w:rPr>
            </w:pPr>
            <w:r w:rsidRPr="00702877">
              <w:rPr>
                <w:rFonts w:cs="Arial"/>
              </w:rPr>
              <w:t>59.493</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17E64A7" w14:textId="57D2C2DD" w:rsidR="00F10CA0" w:rsidRPr="00702877" w:rsidRDefault="00A854D0" w:rsidP="00861E07">
            <w:pPr>
              <w:spacing w:after="0"/>
              <w:jc w:val="right"/>
              <w:rPr>
                <w:rFonts w:cs="Arial"/>
              </w:rPr>
            </w:pPr>
            <w:r w:rsidRPr="00702877">
              <w:rPr>
                <w:rFonts w:cs="Arial"/>
              </w:rPr>
              <w:t>60.861</w:t>
            </w:r>
          </w:p>
        </w:tc>
        <w:tc>
          <w:tcPr>
            <w:tcW w:w="1287" w:type="dxa"/>
            <w:tcBorders>
              <w:top w:val="single" w:sz="4" w:space="0" w:color="auto"/>
              <w:left w:val="single" w:sz="4" w:space="0" w:color="auto"/>
              <w:bottom w:val="single" w:sz="4" w:space="0" w:color="auto"/>
              <w:right w:val="single" w:sz="4" w:space="0" w:color="auto"/>
            </w:tcBorders>
            <w:vAlign w:val="center"/>
          </w:tcPr>
          <w:p w14:paraId="3EF44FAE" w14:textId="30EF6B65" w:rsidR="00F10CA0" w:rsidRPr="00702877" w:rsidRDefault="00A854D0" w:rsidP="00861E07">
            <w:pPr>
              <w:spacing w:after="0"/>
              <w:jc w:val="right"/>
              <w:rPr>
                <w:rFonts w:cs="Arial"/>
              </w:rPr>
            </w:pPr>
            <w:r w:rsidRPr="00702877">
              <w:rPr>
                <w:rFonts w:cs="Arial"/>
              </w:rPr>
              <w:t>62.078</w:t>
            </w:r>
          </w:p>
        </w:tc>
        <w:tc>
          <w:tcPr>
            <w:tcW w:w="1287" w:type="dxa"/>
            <w:tcBorders>
              <w:top w:val="single" w:sz="4" w:space="0" w:color="auto"/>
              <w:left w:val="single" w:sz="4" w:space="0" w:color="auto"/>
              <w:bottom w:val="single" w:sz="4" w:space="0" w:color="auto"/>
              <w:right w:val="single" w:sz="4" w:space="0" w:color="auto"/>
            </w:tcBorders>
            <w:vAlign w:val="center"/>
          </w:tcPr>
          <w:p w14:paraId="3EA8934B" w14:textId="441D1A3F" w:rsidR="00F10CA0" w:rsidRPr="0032286F" w:rsidRDefault="00A854D0" w:rsidP="0032286F">
            <w:pPr>
              <w:spacing w:after="0"/>
              <w:jc w:val="right"/>
              <w:rPr>
                <w:rFonts w:cs="Arial"/>
              </w:rPr>
            </w:pPr>
            <w:r w:rsidRPr="00702877">
              <w:rPr>
                <w:rFonts w:cs="Arial"/>
              </w:rPr>
              <w:t>63.320</w:t>
            </w:r>
          </w:p>
        </w:tc>
      </w:tr>
      <w:tr w:rsidR="006C72FB" w14:paraId="38936710" w14:textId="60DFCC8B" w:rsidTr="0B86641D">
        <w:trPr>
          <w:trHeight w:val="425"/>
          <w:jc w:val="center"/>
        </w:trPr>
        <w:tc>
          <w:tcPr>
            <w:tcW w:w="3174" w:type="dxa"/>
            <w:tcBorders>
              <w:top w:val="single" w:sz="4" w:space="0" w:color="auto"/>
              <w:bottom w:val="single" w:sz="4" w:space="0" w:color="auto"/>
              <w:right w:val="single" w:sz="4" w:space="0" w:color="auto"/>
            </w:tcBorders>
            <w:vAlign w:val="bottom"/>
            <w:hideMark/>
          </w:tcPr>
          <w:p w14:paraId="4C984EE7" w14:textId="77777777" w:rsidR="00F10CA0" w:rsidRPr="00702877" w:rsidRDefault="00A854D0" w:rsidP="00A20B00">
            <w:pPr>
              <w:rPr>
                <w:rFonts w:eastAsiaTheme="minorHAnsi" w:cs="Arial"/>
                <w:color w:val="auto"/>
              </w:rPr>
            </w:pPr>
            <w:r w:rsidRPr="00702877">
              <w:rPr>
                <w:rFonts w:cs="Arial"/>
              </w:rPr>
              <w:t>Collection Fund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4DB92319" w14:textId="712B4CEC" w:rsidR="00F10CA0" w:rsidRPr="00702877" w:rsidRDefault="00A854D0" w:rsidP="0042704B">
            <w:pPr>
              <w:spacing w:after="0"/>
              <w:jc w:val="right"/>
              <w:rPr>
                <w:rFonts w:cs="Arial"/>
              </w:rPr>
            </w:pPr>
            <w:r w:rsidRPr="0B86641D">
              <w:rPr>
                <w:rFonts w:cs="Arial"/>
              </w:rPr>
              <w:t>5</w:t>
            </w:r>
            <w:r w:rsidR="44EE9F18" w:rsidRPr="0B86641D">
              <w:rPr>
                <w:rFonts w:cs="Arial"/>
              </w:rPr>
              <w:t>.000</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52844D39" w14:textId="48FCBD76" w:rsidR="00F10CA0" w:rsidRPr="00702877" w:rsidRDefault="00A854D0" w:rsidP="00861E07">
            <w:pPr>
              <w:spacing w:after="0"/>
              <w:jc w:val="right"/>
              <w:rPr>
                <w:rFonts w:cs="Arial"/>
              </w:rPr>
            </w:pPr>
            <w:r w:rsidRPr="0B86641D">
              <w:rPr>
                <w:rFonts w:cs="Arial"/>
              </w:rPr>
              <w:t>5</w:t>
            </w:r>
            <w:r w:rsidR="44EE9F18" w:rsidRPr="0B86641D">
              <w:rPr>
                <w:rFonts w:cs="Arial"/>
              </w:rPr>
              <w:t>.000</w:t>
            </w:r>
          </w:p>
        </w:tc>
        <w:tc>
          <w:tcPr>
            <w:tcW w:w="1287" w:type="dxa"/>
            <w:tcBorders>
              <w:top w:val="single" w:sz="4" w:space="0" w:color="auto"/>
              <w:left w:val="single" w:sz="4" w:space="0" w:color="auto"/>
              <w:bottom w:val="single" w:sz="4" w:space="0" w:color="auto"/>
              <w:right w:val="single" w:sz="4" w:space="0" w:color="auto"/>
            </w:tcBorders>
            <w:vAlign w:val="center"/>
          </w:tcPr>
          <w:p w14:paraId="620754EC" w14:textId="0CD1C151" w:rsidR="00F10CA0" w:rsidRPr="00702877" w:rsidRDefault="00A854D0" w:rsidP="00861E07">
            <w:pPr>
              <w:spacing w:after="0"/>
              <w:jc w:val="right"/>
              <w:rPr>
                <w:rFonts w:cs="Arial"/>
              </w:rPr>
            </w:pPr>
            <w:r w:rsidRPr="0B86641D">
              <w:rPr>
                <w:rFonts w:cs="Arial"/>
              </w:rPr>
              <w:t>5</w:t>
            </w:r>
            <w:r w:rsidR="487CCA16" w:rsidRPr="0B86641D">
              <w:rPr>
                <w:rFonts w:cs="Arial"/>
              </w:rPr>
              <w:t>.000</w:t>
            </w:r>
          </w:p>
        </w:tc>
        <w:tc>
          <w:tcPr>
            <w:tcW w:w="1287" w:type="dxa"/>
            <w:tcBorders>
              <w:top w:val="single" w:sz="4" w:space="0" w:color="auto"/>
              <w:left w:val="single" w:sz="4" w:space="0" w:color="auto"/>
              <w:bottom w:val="single" w:sz="4" w:space="0" w:color="auto"/>
              <w:right w:val="single" w:sz="4" w:space="0" w:color="auto"/>
            </w:tcBorders>
            <w:vAlign w:val="center"/>
          </w:tcPr>
          <w:p w14:paraId="04B6C9AA" w14:textId="46DE7901" w:rsidR="00F10CA0" w:rsidRPr="00702877" w:rsidRDefault="00A854D0" w:rsidP="00861E07">
            <w:pPr>
              <w:spacing w:after="0"/>
              <w:jc w:val="right"/>
              <w:rPr>
                <w:rFonts w:cs="Arial"/>
              </w:rPr>
            </w:pPr>
            <w:r w:rsidRPr="0B86641D">
              <w:rPr>
                <w:rFonts w:cs="Arial"/>
              </w:rPr>
              <w:t>5</w:t>
            </w:r>
            <w:r w:rsidR="44EE9F18" w:rsidRPr="0B86641D">
              <w:rPr>
                <w:rFonts w:cs="Arial"/>
              </w:rPr>
              <w:t>.000</w:t>
            </w:r>
          </w:p>
        </w:tc>
      </w:tr>
      <w:tr w:rsidR="006C72FB" w14:paraId="1D839A23" w14:textId="77777777" w:rsidTr="0B86641D">
        <w:trPr>
          <w:trHeight w:val="425"/>
          <w:jc w:val="center"/>
        </w:trPr>
        <w:tc>
          <w:tcPr>
            <w:tcW w:w="3174" w:type="dxa"/>
            <w:tcBorders>
              <w:top w:val="single" w:sz="4" w:space="0" w:color="auto"/>
              <w:bottom w:val="single" w:sz="4" w:space="0" w:color="auto"/>
              <w:right w:val="single" w:sz="4" w:space="0" w:color="auto"/>
            </w:tcBorders>
            <w:vAlign w:val="bottom"/>
          </w:tcPr>
          <w:p w14:paraId="714663B7" w14:textId="7CFCA6A3" w:rsidR="0032286F" w:rsidRPr="00702877" w:rsidRDefault="00A854D0" w:rsidP="0032286F">
            <w:pPr>
              <w:rPr>
                <w:rFonts w:cs="Arial"/>
              </w:rPr>
            </w:pPr>
            <w:r w:rsidRPr="00702877">
              <w:rPr>
                <w:rFonts w:cs="Arial"/>
              </w:rPr>
              <w:t>Capital Receipts</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46C5C0B" w14:textId="7F141095" w:rsidR="0032286F" w:rsidRPr="00702877" w:rsidRDefault="00A854D0" w:rsidP="0032286F">
            <w:pPr>
              <w:spacing w:after="0"/>
              <w:jc w:val="right"/>
              <w:rPr>
                <w:rFonts w:cs="Arial"/>
              </w:rPr>
            </w:pPr>
            <w:r w:rsidRPr="00702877">
              <w:rPr>
                <w:rFonts w:cs="Arial"/>
              </w:rPr>
              <w:t>2.000</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C13CF83" w14:textId="3FCD168B" w:rsidR="0032286F" w:rsidRPr="00702877" w:rsidRDefault="00A854D0" w:rsidP="0032286F">
            <w:pPr>
              <w:spacing w:after="0"/>
              <w:jc w:val="right"/>
              <w:rPr>
                <w:rFonts w:cs="Arial"/>
              </w:rPr>
            </w:pPr>
            <w:r w:rsidRPr="00702877">
              <w:rPr>
                <w:rFonts w:cs="Arial"/>
              </w:rPr>
              <w:t>2.000</w:t>
            </w:r>
          </w:p>
        </w:tc>
        <w:tc>
          <w:tcPr>
            <w:tcW w:w="1287" w:type="dxa"/>
            <w:tcBorders>
              <w:top w:val="single" w:sz="4" w:space="0" w:color="auto"/>
              <w:left w:val="single" w:sz="4" w:space="0" w:color="auto"/>
              <w:bottom w:val="single" w:sz="4" w:space="0" w:color="auto"/>
              <w:right w:val="single" w:sz="4" w:space="0" w:color="auto"/>
            </w:tcBorders>
            <w:vAlign w:val="center"/>
          </w:tcPr>
          <w:p w14:paraId="5F0CB34C" w14:textId="39E6BA6C" w:rsidR="0032286F" w:rsidRPr="00702877" w:rsidRDefault="00A854D0" w:rsidP="0032286F">
            <w:pPr>
              <w:spacing w:after="0"/>
              <w:jc w:val="right"/>
              <w:rPr>
                <w:rFonts w:cs="Arial"/>
              </w:rPr>
            </w:pPr>
            <w:r w:rsidRPr="00702877">
              <w:rPr>
                <w:rFonts w:cs="Arial"/>
              </w:rPr>
              <w:t>0.000</w:t>
            </w:r>
          </w:p>
        </w:tc>
        <w:tc>
          <w:tcPr>
            <w:tcW w:w="1287" w:type="dxa"/>
            <w:tcBorders>
              <w:top w:val="single" w:sz="4" w:space="0" w:color="auto"/>
              <w:left w:val="single" w:sz="4" w:space="0" w:color="auto"/>
              <w:bottom w:val="single" w:sz="4" w:space="0" w:color="auto"/>
              <w:right w:val="single" w:sz="4" w:space="0" w:color="auto"/>
            </w:tcBorders>
            <w:vAlign w:val="center"/>
          </w:tcPr>
          <w:p w14:paraId="05475B3B" w14:textId="1C4BF04A" w:rsidR="0032286F" w:rsidRPr="00702877" w:rsidRDefault="00A854D0" w:rsidP="0032286F">
            <w:pPr>
              <w:spacing w:after="0"/>
              <w:jc w:val="right"/>
              <w:rPr>
                <w:rFonts w:cs="Arial"/>
              </w:rPr>
            </w:pPr>
            <w:r>
              <w:rPr>
                <w:rFonts w:cs="Arial"/>
              </w:rPr>
              <w:t>0.000</w:t>
            </w:r>
          </w:p>
        </w:tc>
      </w:tr>
      <w:tr w:rsidR="006C72FB" w14:paraId="317C165A" w14:textId="77777777" w:rsidTr="0B86641D">
        <w:trPr>
          <w:trHeight w:val="425"/>
          <w:jc w:val="center"/>
        </w:trPr>
        <w:tc>
          <w:tcPr>
            <w:tcW w:w="3174" w:type="dxa"/>
            <w:tcBorders>
              <w:top w:val="single" w:sz="4" w:space="0" w:color="auto"/>
              <w:bottom w:val="single" w:sz="4" w:space="0" w:color="auto"/>
              <w:right w:val="single" w:sz="4" w:space="0" w:color="auto"/>
            </w:tcBorders>
            <w:vAlign w:val="bottom"/>
          </w:tcPr>
          <w:p w14:paraId="79F04544" w14:textId="49D8231F" w:rsidR="0032286F" w:rsidRPr="00EC10FE" w:rsidRDefault="00A854D0" w:rsidP="0032286F">
            <w:pPr>
              <w:rPr>
                <w:rFonts w:cs="Arial"/>
              </w:rPr>
            </w:pPr>
            <w:r w:rsidRPr="3D6906B3">
              <w:rPr>
                <w:rFonts w:cs="Arial"/>
              </w:rPr>
              <w:t>2022/23 Services Grant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19E4AC0" w14:textId="2E6B4C4B" w:rsidR="0032286F" w:rsidRPr="00EC10FE" w:rsidRDefault="00A854D0" w:rsidP="0032286F">
            <w:pPr>
              <w:spacing w:after="0"/>
              <w:jc w:val="right"/>
              <w:rPr>
                <w:rFonts w:cs="Arial"/>
              </w:rPr>
            </w:pPr>
            <w:r w:rsidRPr="00EC10FE">
              <w:rPr>
                <w:rFonts w:cs="Arial"/>
              </w:rPr>
              <w:t>13.062</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0A663C6" w14:textId="42B12402" w:rsidR="0032286F" w:rsidRPr="00EC10FE" w:rsidRDefault="00A854D0" w:rsidP="0032286F">
            <w:pPr>
              <w:spacing w:after="0"/>
              <w:jc w:val="right"/>
              <w:rPr>
                <w:rFonts w:cs="Arial"/>
              </w:rPr>
            </w:pPr>
            <w:r w:rsidRPr="00EC10FE">
              <w:rPr>
                <w:rFonts w:cs="Arial"/>
              </w:rPr>
              <w:t>13.062</w:t>
            </w:r>
          </w:p>
        </w:tc>
        <w:tc>
          <w:tcPr>
            <w:tcW w:w="1287" w:type="dxa"/>
            <w:tcBorders>
              <w:top w:val="single" w:sz="4" w:space="0" w:color="auto"/>
              <w:left w:val="single" w:sz="4" w:space="0" w:color="auto"/>
              <w:bottom w:val="single" w:sz="4" w:space="0" w:color="auto"/>
              <w:right w:val="single" w:sz="4" w:space="0" w:color="auto"/>
            </w:tcBorders>
            <w:vAlign w:val="center"/>
          </w:tcPr>
          <w:p w14:paraId="0A4E4301" w14:textId="14439DF8" w:rsidR="0032286F" w:rsidRPr="00EC10FE" w:rsidRDefault="00A854D0" w:rsidP="0032286F">
            <w:pPr>
              <w:spacing w:after="0"/>
              <w:jc w:val="right"/>
              <w:rPr>
                <w:rFonts w:cs="Arial"/>
              </w:rPr>
            </w:pPr>
            <w:r w:rsidRPr="00EC10FE">
              <w:rPr>
                <w:rFonts w:cs="Arial"/>
              </w:rPr>
              <w:t>13.062</w:t>
            </w:r>
          </w:p>
        </w:tc>
        <w:tc>
          <w:tcPr>
            <w:tcW w:w="1287" w:type="dxa"/>
            <w:tcBorders>
              <w:top w:val="single" w:sz="4" w:space="0" w:color="auto"/>
              <w:left w:val="single" w:sz="4" w:space="0" w:color="auto"/>
              <w:bottom w:val="single" w:sz="4" w:space="0" w:color="auto"/>
              <w:right w:val="single" w:sz="4" w:space="0" w:color="auto"/>
            </w:tcBorders>
            <w:vAlign w:val="center"/>
          </w:tcPr>
          <w:p w14:paraId="776D26F2" w14:textId="4E746684" w:rsidR="0032286F" w:rsidRPr="00EC10FE" w:rsidRDefault="00A854D0" w:rsidP="0032286F">
            <w:pPr>
              <w:spacing w:after="0"/>
              <w:jc w:val="right"/>
              <w:rPr>
                <w:rFonts w:cs="Arial"/>
              </w:rPr>
            </w:pPr>
            <w:r w:rsidRPr="00EC10FE">
              <w:rPr>
                <w:rFonts w:cs="Arial"/>
              </w:rPr>
              <w:t>13.062</w:t>
            </w:r>
          </w:p>
        </w:tc>
      </w:tr>
      <w:tr w:rsidR="006C72FB" w14:paraId="0AF22274" w14:textId="77777777" w:rsidTr="0B86641D">
        <w:trPr>
          <w:trHeight w:val="425"/>
          <w:jc w:val="center"/>
        </w:trPr>
        <w:tc>
          <w:tcPr>
            <w:tcW w:w="3174" w:type="dxa"/>
            <w:tcBorders>
              <w:top w:val="single" w:sz="4" w:space="0" w:color="auto"/>
              <w:bottom w:val="single" w:sz="4" w:space="0" w:color="auto"/>
              <w:right w:val="single" w:sz="4" w:space="0" w:color="auto"/>
            </w:tcBorders>
            <w:shd w:val="clear" w:color="auto" w:fill="BFBFBF" w:themeFill="background1" w:themeFillShade="BF"/>
            <w:vAlign w:val="center"/>
          </w:tcPr>
          <w:p w14:paraId="40D3A0CF" w14:textId="2A3B7C0C" w:rsidR="0032286F" w:rsidRPr="0032286F" w:rsidRDefault="00A854D0" w:rsidP="0032286F">
            <w:pPr>
              <w:spacing w:after="0"/>
              <w:jc w:val="left"/>
              <w:rPr>
                <w:rFonts w:eastAsiaTheme="minorHAnsi" w:cs="Arial"/>
                <w:b/>
              </w:rPr>
            </w:pPr>
            <w:r>
              <w:rPr>
                <w:rFonts w:eastAsiaTheme="minorHAnsi" w:cs="Arial"/>
                <w:b/>
              </w:rPr>
              <w:t>Total</w:t>
            </w:r>
          </w:p>
        </w:tc>
        <w:tc>
          <w:tcPr>
            <w:tcW w:w="1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CCFC58" w14:textId="1E4BECBA" w:rsidR="0032286F" w:rsidRPr="0032286F" w:rsidRDefault="00A854D0" w:rsidP="0B86641D">
            <w:pPr>
              <w:spacing w:after="0"/>
              <w:jc w:val="right"/>
              <w:rPr>
                <w:rFonts w:eastAsiaTheme="minorEastAsia" w:cs="Arial"/>
                <w:b/>
                <w:bCs/>
              </w:rPr>
            </w:pPr>
            <w:r w:rsidRPr="0B86641D">
              <w:rPr>
                <w:rFonts w:eastAsiaTheme="minorEastAsia" w:cs="Arial"/>
                <w:b/>
                <w:bCs/>
              </w:rPr>
              <w:t>981</w:t>
            </w:r>
            <w:r w:rsidR="7D3EC91D" w:rsidRPr="0B86641D">
              <w:rPr>
                <w:rFonts w:eastAsiaTheme="minorEastAsia" w:cs="Arial"/>
                <w:b/>
                <w:bCs/>
              </w:rPr>
              <w:t>.577</w:t>
            </w:r>
          </w:p>
        </w:tc>
        <w:tc>
          <w:tcPr>
            <w:tcW w:w="1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F978F5" w14:textId="20805CB5" w:rsidR="0032286F" w:rsidRPr="0032286F" w:rsidRDefault="00A854D0" w:rsidP="0B86641D">
            <w:pPr>
              <w:spacing w:after="0"/>
              <w:jc w:val="right"/>
              <w:rPr>
                <w:rFonts w:eastAsiaTheme="minorEastAsia" w:cs="Arial"/>
                <w:b/>
                <w:bCs/>
              </w:rPr>
            </w:pPr>
            <w:r w:rsidRPr="0B86641D">
              <w:rPr>
                <w:rFonts w:eastAsiaTheme="minorEastAsia" w:cs="Arial"/>
                <w:b/>
                <w:bCs/>
              </w:rPr>
              <w:t>1014</w:t>
            </w:r>
            <w:r w:rsidR="7D3EC91D" w:rsidRPr="0B86641D">
              <w:rPr>
                <w:rFonts w:eastAsiaTheme="minorEastAsia" w:cs="Arial"/>
                <w:b/>
                <w:bCs/>
              </w:rPr>
              <w:t>.395</w:t>
            </w:r>
          </w:p>
        </w:tc>
        <w:tc>
          <w:tcPr>
            <w:tcW w:w="12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A249AA" w14:textId="2E39BD08" w:rsidR="0032286F" w:rsidRPr="0032286F" w:rsidRDefault="00A854D0" w:rsidP="0B86641D">
            <w:pPr>
              <w:spacing w:after="0"/>
              <w:jc w:val="right"/>
              <w:rPr>
                <w:rFonts w:eastAsiaTheme="minorEastAsia" w:cs="Arial"/>
                <w:b/>
                <w:bCs/>
              </w:rPr>
            </w:pPr>
            <w:r w:rsidRPr="0B86641D">
              <w:rPr>
                <w:rFonts w:eastAsiaTheme="minorEastAsia" w:cs="Arial"/>
                <w:b/>
                <w:bCs/>
              </w:rPr>
              <w:t>1047</w:t>
            </w:r>
            <w:r w:rsidR="7D3EC91D" w:rsidRPr="0B86641D">
              <w:rPr>
                <w:rFonts w:eastAsiaTheme="minorEastAsia" w:cs="Arial"/>
                <w:b/>
                <w:bCs/>
              </w:rPr>
              <w:t>.577</w:t>
            </w:r>
          </w:p>
        </w:tc>
        <w:tc>
          <w:tcPr>
            <w:tcW w:w="12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F0BF93" w14:textId="497F17D5" w:rsidR="0032286F" w:rsidRPr="0032286F" w:rsidRDefault="00A854D0" w:rsidP="0B86641D">
            <w:pPr>
              <w:spacing w:after="0"/>
              <w:jc w:val="right"/>
              <w:rPr>
                <w:rFonts w:eastAsiaTheme="minorEastAsia" w:cs="Arial"/>
                <w:b/>
                <w:bCs/>
              </w:rPr>
            </w:pPr>
            <w:r w:rsidRPr="0B86641D">
              <w:rPr>
                <w:rFonts w:eastAsiaTheme="minorEastAsia" w:cs="Arial"/>
                <w:b/>
                <w:bCs/>
              </w:rPr>
              <w:t>1084</w:t>
            </w:r>
            <w:r w:rsidR="7D3EC91D" w:rsidRPr="0B86641D">
              <w:rPr>
                <w:rFonts w:eastAsiaTheme="minorEastAsia" w:cs="Arial"/>
                <w:b/>
                <w:bCs/>
              </w:rPr>
              <w:t>.276</w:t>
            </w:r>
          </w:p>
        </w:tc>
      </w:tr>
      <w:tr w:rsidR="006C72FB" w14:paraId="6A12C633" w14:textId="7BBCC86F" w:rsidTr="0B86641D">
        <w:trPr>
          <w:trHeight w:val="425"/>
          <w:jc w:val="center"/>
        </w:trPr>
        <w:tc>
          <w:tcPr>
            <w:tcW w:w="3174" w:type="dxa"/>
            <w:shd w:val="clear" w:color="auto" w:fill="auto"/>
            <w:vAlign w:val="center"/>
          </w:tcPr>
          <w:p w14:paraId="53FE4032" w14:textId="77777777" w:rsidR="0032286F" w:rsidRPr="00EC10FE" w:rsidRDefault="0032286F" w:rsidP="0032286F">
            <w:pPr>
              <w:rPr>
                <w:rFonts w:eastAsiaTheme="minorHAnsi" w:cs="Arial"/>
                <w:b/>
                <w:highlight w:val="yellow"/>
              </w:rPr>
            </w:pPr>
          </w:p>
        </w:tc>
        <w:tc>
          <w:tcPr>
            <w:tcW w:w="1508" w:type="dxa"/>
            <w:shd w:val="clear" w:color="auto" w:fill="auto"/>
            <w:vAlign w:val="center"/>
          </w:tcPr>
          <w:p w14:paraId="60BCD4E0" w14:textId="77777777" w:rsidR="0032286F" w:rsidRPr="00EC10FE" w:rsidRDefault="0032286F" w:rsidP="0032286F">
            <w:pPr>
              <w:jc w:val="right"/>
              <w:rPr>
                <w:rFonts w:cs="Arial"/>
                <w:b/>
                <w:highlight w:val="yellow"/>
              </w:rPr>
            </w:pPr>
          </w:p>
        </w:tc>
        <w:tc>
          <w:tcPr>
            <w:tcW w:w="1508" w:type="dxa"/>
            <w:shd w:val="clear" w:color="auto" w:fill="auto"/>
            <w:vAlign w:val="center"/>
          </w:tcPr>
          <w:p w14:paraId="473F7FB3" w14:textId="77777777" w:rsidR="0032286F" w:rsidRPr="00EC10FE" w:rsidRDefault="0032286F" w:rsidP="0032286F">
            <w:pPr>
              <w:jc w:val="right"/>
              <w:rPr>
                <w:rFonts w:cs="Arial"/>
                <w:b/>
                <w:highlight w:val="yellow"/>
              </w:rPr>
            </w:pPr>
          </w:p>
        </w:tc>
        <w:tc>
          <w:tcPr>
            <w:tcW w:w="1287" w:type="dxa"/>
            <w:vAlign w:val="center"/>
          </w:tcPr>
          <w:p w14:paraId="0F87866B" w14:textId="77777777" w:rsidR="0032286F" w:rsidRPr="00EC10FE" w:rsidRDefault="0032286F" w:rsidP="0032286F">
            <w:pPr>
              <w:jc w:val="right"/>
              <w:rPr>
                <w:rFonts w:cs="Arial"/>
                <w:b/>
                <w:highlight w:val="yellow"/>
              </w:rPr>
            </w:pPr>
          </w:p>
        </w:tc>
        <w:tc>
          <w:tcPr>
            <w:tcW w:w="1287" w:type="dxa"/>
            <w:vAlign w:val="center"/>
          </w:tcPr>
          <w:p w14:paraId="146241FD" w14:textId="77777777" w:rsidR="0032286F" w:rsidRPr="00EC10FE" w:rsidRDefault="0032286F" w:rsidP="0032286F">
            <w:pPr>
              <w:jc w:val="right"/>
              <w:rPr>
                <w:rFonts w:cs="Arial"/>
                <w:b/>
                <w:highlight w:val="yellow"/>
              </w:rPr>
            </w:pPr>
          </w:p>
        </w:tc>
      </w:tr>
      <w:tr w:rsidR="006C72FB" w14:paraId="0CC9B69A" w14:textId="3DE1DB03" w:rsidTr="0B86641D">
        <w:trPr>
          <w:trHeight w:val="425"/>
          <w:jc w:val="center"/>
        </w:trPr>
        <w:tc>
          <w:tcPr>
            <w:tcW w:w="3174" w:type="dxa"/>
            <w:tcBorders>
              <w:top w:val="single" w:sz="4" w:space="0" w:color="auto"/>
              <w:bottom w:val="single" w:sz="4" w:space="0" w:color="auto"/>
              <w:right w:val="single" w:sz="4" w:space="0" w:color="auto"/>
            </w:tcBorders>
            <w:shd w:val="clear" w:color="auto" w:fill="auto"/>
            <w:vAlign w:val="center"/>
          </w:tcPr>
          <w:p w14:paraId="6D4A7A00" w14:textId="77777777" w:rsidR="0032286F" w:rsidRPr="00EC10FE" w:rsidRDefault="00A854D0" w:rsidP="0032286F">
            <w:pPr>
              <w:spacing w:after="0"/>
              <w:jc w:val="left"/>
              <w:rPr>
                <w:rFonts w:eastAsiaTheme="minorHAnsi" w:cs="Arial"/>
                <w:b/>
              </w:rPr>
            </w:pPr>
            <w:r w:rsidRPr="00EC10FE">
              <w:rPr>
                <w:rFonts w:eastAsiaTheme="minorHAnsi" w:cs="Arial"/>
                <w:b/>
              </w:rPr>
              <w:t>Funding assumed - previous MTFS</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D7650C8" w14:textId="09568479" w:rsidR="0032286F" w:rsidRPr="00EC10FE" w:rsidRDefault="00A854D0" w:rsidP="0032286F">
            <w:pPr>
              <w:spacing w:after="0"/>
              <w:jc w:val="right"/>
              <w:rPr>
                <w:rFonts w:cs="Arial"/>
                <w:b/>
              </w:rPr>
            </w:pPr>
            <w:r w:rsidRPr="00EC10FE">
              <w:rPr>
                <w:rFonts w:cs="Arial"/>
                <w:b/>
              </w:rPr>
              <w:t>971.825</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F05CE57" w14:textId="4F87E75E" w:rsidR="0032286F" w:rsidRPr="00EC10FE" w:rsidRDefault="00A854D0" w:rsidP="0032286F">
            <w:pPr>
              <w:spacing w:after="0"/>
              <w:jc w:val="right"/>
              <w:rPr>
                <w:rFonts w:cs="Arial"/>
                <w:b/>
              </w:rPr>
            </w:pPr>
            <w:r w:rsidRPr="00EC10FE">
              <w:rPr>
                <w:rFonts w:cs="Arial"/>
                <w:b/>
              </w:rPr>
              <w:t>1004.632</w:t>
            </w:r>
          </w:p>
        </w:tc>
        <w:tc>
          <w:tcPr>
            <w:tcW w:w="1287" w:type="dxa"/>
            <w:tcBorders>
              <w:top w:val="single" w:sz="4" w:space="0" w:color="auto"/>
              <w:left w:val="single" w:sz="4" w:space="0" w:color="auto"/>
              <w:bottom w:val="single" w:sz="4" w:space="0" w:color="auto"/>
              <w:right w:val="single" w:sz="4" w:space="0" w:color="auto"/>
            </w:tcBorders>
            <w:vAlign w:val="center"/>
          </w:tcPr>
          <w:p w14:paraId="60B989B3" w14:textId="681A980C" w:rsidR="0032286F" w:rsidRPr="00121AC9" w:rsidRDefault="00A854D0" w:rsidP="0032286F">
            <w:pPr>
              <w:spacing w:after="0"/>
              <w:jc w:val="right"/>
              <w:rPr>
                <w:rFonts w:cs="Arial"/>
                <w:b/>
              </w:rPr>
            </w:pPr>
            <w:r w:rsidRPr="00121AC9">
              <w:rPr>
                <w:rFonts w:cs="Arial"/>
                <w:b/>
              </w:rPr>
              <w:t>0.000</w:t>
            </w:r>
          </w:p>
        </w:tc>
        <w:tc>
          <w:tcPr>
            <w:tcW w:w="1287" w:type="dxa"/>
            <w:tcBorders>
              <w:top w:val="single" w:sz="4" w:space="0" w:color="auto"/>
              <w:left w:val="single" w:sz="4" w:space="0" w:color="auto"/>
              <w:bottom w:val="single" w:sz="4" w:space="0" w:color="auto"/>
              <w:right w:val="single" w:sz="4" w:space="0" w:color="auto"/>
            </w:tcBorders>
            <w:vAlign w:val="center"/>
          </w:tcPr>
          <w:p w14:paraId="1C9BE00D" w14:textId="00C567A5" w:rsidR="0032286F" w:rsidRPr="00121AC9" w:rsidRDefault="00A854D0" w:rsidP="0032286F">
            <w:pPr>
              <w:spacing w:after="0"/>
              <w:jc w:val="right"/>
              <w:rPr>
                <w:rFonts w:cs="Arial"/>
                <w:b/>
              </w:rPr>
            </w:pPr>
            <w:r w:rsidRPr="00121AC9">
              <w:rPr>
                <w:rFonts w:cs="Arial"/>
                <w:b/>
              </w:rPr>
              <w:t>0.000</w:t>
            </w:r>
          </w:p>
        </w:tc>
      </w:tr>
      <w:tr w:rsidR="006C72FB" w14:paraId="169A6D1A" w14:textId="4B99B266" w:rsidTr="0B86641D">
        <w:trPr>
          <w:trHeight w:val="425"/>
          <w:jc w:val="center"/>
        </w:trPr>
        <w:tc>
          <w:tcPr>
            <w:tcW w:w="3174" w:type="dxa"/>
            <w:tcBorders>
              <w:top w:val="single" w:sz="4" w:space="0" w:color="auto"/>
              <w:right w:val="single" w:sz="4" w:space="0" w:color="auto"/>
            </w:tcBorders>
            <w:shd w:val="clear" w:color="auto" w:fill="BFBFBF" w:themeFill="background1" w:themeFillShade="BF"/>
            <w:vAlign w:val="center"/>
          </w:tcPr>
          <w:p w14:paraId="316EE100" w14:textId="77777777" w:rsidR="0032286F" w:rsidRPr="00EC10FE" w:rsidRDefault="00A854D0" w:rsidP="0032286F">
            <w:pPr>
              <w:spacing w:after="0"/>
              <w:jc w:val="left"/>
              <w:rPr>
                <w:rFonts w:eastAsiaTheme="minorHAnsi" w:cs="Arial"/>
                <w:b/>
              </w:rPr>
            </w:pPr>
            <w:r w:rsidRPr="00EC10FE">
              <w:rPr>
                <w:rFonts w:eastAsiaTheme="minorHAnsi" w:cs="Arial"/>
                <w:b/>
              </w:rPr>
              <w:t>Variance</w:t>
            </w:r>
          </w:p>
        </w:tc>
        <w:tc>
          <w:tcPr>
            <w:tcW w:w="1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A1031F" w14:textId="506E7957" w:rsidR="0032286F" w:rsidRPr="00EC10FE" w:rsidRDefault="00A854D0" w:rsidP="0B86641D">
            <w:pPr>
              <w:spacing w:after="0"/>
              <w:jc w:val="right"/>
              <w:rPr>
                <w:rFonts w:cs="Arial"/>
                <w:b/>
                <w:bCs/>
              </w:rPr>
            </w:pPr>
            <w:r w:rsidRPr="0B86641D">
              <w:rPr>
                <w:rFonts w:cs="Arial"/>
                <w:b/>
                <w:bCs/>
              </w:rPr>
              <w:t>9.752</w:t>
            </w:r>
          </w:p>
        </w:tc>
        <w:tc>
          <w:tcPr>
            <w:tcW w:w="1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019ABF" w14:textId="111E2C11" w:rsidR="0032286F" w:rsidRPr="00EC10FE" w:rsidRDefault="00A854D0" w:rsidP="0B86641D">
            <w:pPr>
              <w:spacing w:after="0"/>
              <w:jc w:val="right"/>
              <w:rPr>
                <w:rFonts w:cs="Arial"/>
                <w:b/>
                <w:bCs/>
              </w:rPr>
            </w:pPr>
            <w:r w:rsidRPr="0B86641D">
              <w:rPr>
                <w:rFonts w:cs="Arial"/>
                <w:b/>
                <w:bCs/>
              </w:rPr>
              <w:t>9.763</w:t>
            </w:r>
          </w:p>
        </w:tc>
        <w:tc>
          <w:tcPr>
            <w:tcW w:w="12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06BA28" w14:textId="3E6EB7E2" w:rsidR="0032286F" w:rsidRPr="00EC10FE" w:rsidRDefault="0032286F" w:rsidP="0032286F">
            <w:pPr>
              <w:spacing w:after="0"/>
              <w:jc w:val="right"/>
              <w:rPr>
                <w:rFonts w:cs="Arial"/>
                <w:b/>
                <w:highlight w:val="yellow"/>
              </w:rPr>
            </w:pPr>
          </w:p>
        </w:tc>
        <w:tc>
          <w:tcPr>
            <w:tcW w:w="12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5DE34C" w14:textId="528E76C1" w:rsidR="0032286F" w:rsidRPr="00EC10FE" w:rsidRDefault="0032286F" w:rsidP="0032286F">
            <w:pPr>
              <w:spacing w:after="0"/>
              <w:jc w:val="right"/>
              <w:rPr>
                <w:rFonts w:cs="Arial"/>
                <w:b/>
                <w:highlight w:val="yellow"/>
              </w:rPr>
            </w:pPr>
          </w:p>
        </w:tc>
      </w:tr>
      <w:tr w:rsidR="006C72FB" w14:paraId="5E7B3A3B" w14:textId="00F5D0B4" w:rsidTr="0B86641D">
        <w:trPr>
          <w:trHeight w:val="425"/>
          <w:jc w:val="center"/>
        </w:trPr>
        <w:tc>
          <w:tcPr>
            <w:tcW w:w="3174" w:type="dxa"/>
            <w:shd w:val="clear" w:color="auto" w:fill="BFBFBF" w:themeFill="background1" w:themeFillShade="BF"/>
            <w:vAlign w:val="center"/>
          </w:tcPr>
          <w:p w14:paraId="3D583E82" w14:textId="77777777" w:rsidR="0032286F" w:rsidRPr="00EC10FE" w:rsidRDefault="00A854D0" w:rsidP="0032286F">
            <w:pPr>
              <w:spacing w:after="0"/>
              <w:jc w:val="left"/>
              <w:rPr>
                <w:rFonts w:eastAsiaTheme="minorHAnsi" w:cs="Arial"/>
                <w:b/>
              </w:rPr>
            </w:pPr>
            <w:r w:rsidRPr="00EC10FE">
              <w:rPr>
                <w:rFonts w:eastAsiaTheme="minorHAnsi" w:cs="Arial"/>
                <w:b/>
              </w:rPr>
              <w:t>Impact on financial gap</w:t>
            </w:r>
          </w:p>
        </w:tc>
        <w:tc>
          <w:tcPr>
            <w:tcW w:w="1508" w:type="dxa"/>
            <w:tcBorders>
              <w:top w:val="single" w:sz="4" w:space="0" w:color="auto"/>
              <w:left w:val="nil"/>
              <w:bottom w:val="single" w:sz="8" w:space="0" w:color="auto"/>
              <w:right w:val="single" w:sz="8" w:space="0" w:color="auto"/>
            </w:tcBorders>
            <w:shd w:val="clear" w:color="auto" w:fill="BFBFBF" w:themeFill="background1" w:themeFillShade="BF"/>
            <w:vAlign w:val="center"/>
          </w:tcPr>
          <w:p w14:paraId="563878CD" w14:textId="6CEE630C" w:rsidR="0032286F" w:rsidRPr="00EC10FE" w:rsidRDefault="00A854D0" w:rsidP="0B86641D">
            <w:pPr>
              <w:spacing w:after="0"/>
              <w:jc w:val="right"/>
              <w:rPr>
                <w:rFonts w:cs="Arial"/>
                <w:b/>
                <w:bCs/>
              </w:rPr>
            </w:pPr>
            <w:r w:rsidRPr="0B86641D">
              <w:rPr>
                <w:rFonts w:cs="Arial"/>
                <w:b/>
                <w:bCs/>
              </w:rPr>
              <w:t>-</w:t>
            </w:r>
            <w:r w:rsidR="00A65D40" w:rsidRPr="0B86641D">
              <w:rPr>
                <w:rFonts w:cs="Arial"/>
                <w:b/>
                <w:bCs/>
              </w:rPr>
              <w:t>9.752</w:t>
            </w:r>
          </w:p>
        </w:tc>
        <w:tc>
          <w:tcPr>
            <w:tcW w:w="1508" w:type="dxa"/>
            <w:tcBorders>
              <w:top w:val="single" w:sz="4" w:space="0" w:color="auto"/>
              <w:left w:val="nil"/>
              <w:bottom w:val="single" w:sz="8" w:space="0" w:color="auto"/>
              <w:right w:val="single" w:sz="8" w:space="0" w:color="auto"/>
            </w:tcBorders>
            <w:shd w:val="clear" w:color="auto" w:fill="BFBFBF" w:themeFill="background1" w:themeFillShade="BF"/>
            <w:vAlign w:val="center"/>
          </w:tcPr>
          <w:p w14:paraId="4F7F3759" w14:textId="7464F850" w:rsidR="0032286F" w:rsidRPr="00EC10FE" w:rsidRDefault="00A854D0" w:rsidP="0B86641D">
            <w:pPr>
              <w:spacing w:after="0"/>
              <w:jc w:val="right"/>
              <w:rPr>
                <w:rFonts w:cs="Arial"/>
                <w:b/>
                <w:bCs/>
              </w:rPr>
            </w:pPr>
            <w:r w:rsidRPr="0B86641D">
              <w:rPr>
                <w:rFonts w:cs="Arial"/>
                <w:b/>
                <w:bCs/>
              </w:rPr>
              <w:t>-</w:t>
            </w:r>
            <w:r w:rsidR="00A65D40" w:rsidRPr="0B86641D">
              <w:rPr>
                <w:rFonts w:cs="Arial"/>
                <w:b/>
                <w:bCs/>
              </w:rPr>
              <w:t>0</w:t>
            </w:r>
            <w:r w:rsidRPr="0B86641D">
              <w:rPr>
                <w:rFonts w:cs="Arial"/>
                <w:b/>
                <w:bCs/>
              </w:rPr>
              <w:t>.011</w:t>
            </w:r>
          </w:p>
        </w:tc>
        <w:tc>
          <w:tcPr>
            <w:tcW w:w="1287" w:type="dxa"/>
            <w:tcBorders>
              <w:top w:val="single" w:sz="4" w:space="0" w:color="auto"/>
              <w:left w:val="nil"/>
              <w:bottom w:val="single" w:sz="8" w:space="0" w:color="auto"/>
              <w:right w:val="single" w:sz="4" w:space="0" w:color="auto"/>
            </w:tcBorders>
            <w:shd w:val="clear" w:color="auto" w:fill="BFBFBF" w:themeFill="background1" w:themeFillShade="BF"/>
            <w:vAlign w:val="center"/>
          </w:tcPr>
          <w:p w14:paraId="329A986F" w14:textId="63145CF2" w:rsidR="0032286F" w:rsidRPr="00FB2FE1" w:rsidRDefault="00A854D0" w:rsidP="0032286F">
            <w:pPr>
              <w:spacing w:after="0"/>
              <w:jc w:val="right"/>
              <w:rPr>
                <w:rFonts w:cs="Arial"/>
                <w:b/>
              </w:rPr>
            </w:pPr>
            <w:r w:rsidRPr="00FB2FE1">
              <w:rPr>
                <w:rFonts w:cs="Arial"/>
                <w:b/>
              </w:rPr>
              <w:t>-33.182</w:t>
            </w:r>
          </w:p>
        </w:tc>
        <w:tc>
          <w:tcPr>
            <w:tcW w:w="1287" w:type="dxa"/>
            <w:tcBorders>
              <w:top w:val="single" w:sz="4" w:space="0" w:color="auto"/>
              <w:left w:val="nil"/>
              <w:bottom w:val="single" w:sz="8" w:space="0" w:color="auto"/>
              <w:right w:val="single" w:sz="4" w:space="0" w:color="auto"/>
            </w:tcBorders>
            <w:shd w:val="clear" w:color="auto" w:fill="BFBFBF" w:themeFill="background1" w:themeFillShade="BF"/>
            <w:vAlign w:val="center"/>
          </w:tcPr>
          <w:p w14:paraId="7154440F" w14:textId="09A2332D" w:rsidR="0032286F" w:rsidRPr="00FB2FE1" w:rsidRDefault="00A854D0" w:rsidP="0032286F">
            <w:pPr>
              <w:spacing w:after="0"/>
              <w:jc w:val="right"/>
              <w:rPr>
                <w:rFonts w:cs="Arial"/>
                <w:b/>
              </w:rPr>
            </w:pPr>
            <w:r w:rsidRPr="00FB2FE1">
              <w:rPr>
                <w:rFonts w:cs="Arial"/>
                <w:b/>
              </w:rPr>
              <w:t>-36.699</w:t>
            </w:r>
          </w:p>
        </w:tc>
      </w:tr>
    </w:tbl>
    <w:p w14:paraId="34716E9B" w14:textId="77777777" w:rsidR="0046463C" w:rsidRPr="003A755A" w:rsidRDefault="0046463C" w:rsidP="0046463C">
      <w:pPr>
        <w:spacing w:after="0"/>
        <w:rPr>
          <w:rFonts w:cs="Arial"/>
          <w:b/>
          <w:highlight w:val="yellow"/>
        </w:rPr>
      </w:pPr>
    </w:p>
    <w:p w14:paraId="7EACF90F" w14:textId="77777777" w:rsidR="0046463C" w:rsidRPr="00526A1B" w:rsidRDefault="00A854D0" w:rsidP="0046463C">
      <w:pPr>
        <w:spacing w:after="0"/>
        <w:rPr>
          <w:rFonts w:cs="Arial"/>
          <w:b/>
        </w:rPr>
      </w:pPr>
      <w:r w:rsidRPr="00526A1B">
        <w:rPr>
          <w:rFonts w:cs="Arial"/>
          <w:b/>
        </w:rPr>
        <w:t xml:space="preserve">2.1 Council tax and business rates </w:t>
      </w:r>
    </w:p>
    <w:p w14:paraId="4CDBC2F6" w14:textId="77777777" w:rsidR="0046463C" w:rsidRPr="00526A1B" w:rsidRDefault="0046463C" w:rsidP="0046463C">
      <w:pPr>
        <w:spacing w:after="0"/>
        <w:rPr>
          <w:rFonts w:cs="Arial"/>
        </w:rPr>
      </w:pPr>
    </w:p>
    <w:p w14:paraId="25D343CA" w14:textId="77777777" w:rsidR="0046463C" w:rsidRPr="00526A1B" w:rsidRDefault="00A854D0" w:rsidP="0046463C">
      <w:pPr>
        <w:spacing w:after="0"/>
        <w:rPr>
          <w:rFonts w:cs="Arial"/>
          <w:b/>
          <w:i/>
        </w:rPr>
      </w:pPr>
      <w:r w:rsidRPr="00526A1B">
        <w:rPr>
          <w:rFonts w:cs="Arial"/>
          <w:b/>
          <w:i/>
        </w:rPr>
        <w:t>Council tax</w:t>
      </w:r>
    </w:p>
    <w:p w14:paraId="34DC6FDB" w14:textId="0D076D75" w:rsidR="0046463C" w:rsidRPr="00526A1B" w:rsidRDefault="00A854D0" w:rsidP="0046463C">
      <w:pPr>
        <w:spacing w:after="0"/>
        <w:rPr>
          <w:rFonts w:cs="Arial"/>
        </w:rPr>
      </w:pPr>
      <w:r w:rsidRPr="00526A1B">
        <w:rPr>
          <w:rFonts w:cs="Arial"/>
        </w:rPr>
        <w:t xml:space="preserve">The MTFS currently reflects the following assumptions in relation to the county council's council tax increases as previously reported to cabinet, however this is a decision for </w:t>
      </w:r>
      <w:r w:rsidR="00870AAC">
        <w:rPr>
          <w:rFonts w:cs="Arial"/>
        </w:rPr>
        <w:t>F</w:t>
      </w:r>
      <w:r w:rsidRPr="00526A1B">
        <w:rPr>
          <w:rFonts w:cs="Arial"/>
        </w:rPr>
        <w:t xml:space="preserve">ull </w:t>
      </w:r>
      <w:r w:rsidR="00870AAC">
        <w:rPr>
          <w:rFonts w:cs="Arial"/>
        </w:rPr>
        <w:t>C</w:t>
      </w:r>
      <w:r w:rsidRPr="00526A1B">
        <w:rPr>
          <w:rFonts w:cs="Arial"/>
        </w:rPr>
        <w:t>ouncil to make each year when setting the budget.</w:t>
      </w:r>
    </w:p>
    <w:p w14:paraId="07BBE560" w14:textId="77777777" w:rsidR="0046463C" w:rsidRPr="003A755A" w:rsidRDefault="0046463C" w:rsidP="0046463C">
      <w:pPr>
        <w:spacing w:after="0"/>
        <w:rPr>
          <w:rFonts w:cs="Arial"/>
          <w:highlight w:val="yellow"/>
        </w:rPr>
      </w:pPr>
    </w:p>
    <w:p w14:paraId="4E5B4BEC" w14:textId="77777777" w:rsidR="0046463C" w:rsidRDefault="00A854D0" w:rsidP="0046463C">
      <w:pPr>
        <w:spacing w:after="0"/>
        <w:rPr>
          <w:rFonts w:cs="Arial"/>
          <w:b/>
          <w:i/>
          <w:u w:val="single"/>
        </w:rPr>
      </w:pPr>
      <w:r w:rsidRPr="00526A1B">
        <w:rPr>
          <w:rFonts w:cs="Arial"/>
          <w:b/>
          <w:i/>
          <w:u w:val="single"/>
        </w:rPr>
        <w:t>Table 3</w:t>
      </w:r>
    </w:p>
    <w:p w14:paraId="19A2D109" w14:textId="77777777" w:rsidR="007D3552" w:rsidRPr="00526A1B" w:rsidRDefault="007D3552" w:rsidP="0046463C">
      <w:pPr>
        <w:spacing w:after="0"/>
        <w:rPr>
          <w:rFonts w:cs="Arial"/>
          <w:b/>
          <w:i/>
          <w:u w:val="single"/>
        </w:rPr>
      </w:pPr>
    </w:p>
    <w:tbl>
      <w:tblPr>
        <w:tblStyle w:val="TableGrid11"/>
        <w:tblW w:w="0" w:type="auto"/>
        <w:jc w:val="center"/>
        <w:tblLook w:val="04A0" w:firstRow="1" w:lastRow="0" w:firstColumn="1" w:lastColumn="0" w:noHBand="0" w:noVBand="1"/>
      </w:tblPr>
      <w:tblGrid>
        <w:gridCol w:w="1129"/>
        <w:gridCol w:w="1843"/>
        <w:gridCol w:w="1843"/>
        <w:gridCol w:w="1701"/>
      </w:tblGrid>
      <w:tr w:rsidR="006C72FB" w14:paraId="09CD0C9F" w14:textId="77777777" w:rsidTr="00F3723A">
        <w:trPr>
          <w:jc w:val="center"/>
        </w:trPr>
        <w:tc>
          <w:tcPr>
            <w:tcW w:w="1129" w:type="dxa"/>
          </w:tcPr>
          <w:p w14:paraId="1F7C717B" w14:textId="77777777" w:rsidR="0046463C" w:rsidRPr="00526A1B" w:rsidRDefault="0046463C" w:rsidP="0046463C">
            <w:pPr>
              <w:spacing w:after="0"/>
              <w:rPr>
                <w:rFonts w:cs="Arial"/>
              </w:rPr>
            </w:pPr>
          </w:p>
        </w:tc>
        <w:tc>
          <w:tcPr>
            <w:tcW w:w="1843" w:type="dxa"/>
            <w:vAlign w:val="center"/>
          </w:tcPr>
          <w:p w14:paraId="041A3FDF" w14:textId="77777777" w:rsidR="0046463C" w:rsidRPr="00526A1B" w:rsidRDefault="00A854D0" w:rsidP="0046463C">
            <w:pPr>
              <w:spacing w:after="0"/>
              <w:jc w:val="center"/>
              <w:rPr>
                <w:rFonts w:cs="Arial"/>
              </w:rPr>
            </w:pPr>
            <w:r w:rsidRPr="00526A1B">
              <w:rPr>
                <w:rFonts w:cs="Arial"/>
              </w:rPr>
              <w:t>Council tax increase (no referendum required)</w:t>
            </w:r>
          </w:p>
        </w:tc>
        <w:tc>
          <w:tcPr>
            <w:tcW w:w="1843" w:type="dxa"/>
            <w:vAlign w:val="center"/>
          </w:tcPr>
          <w:p w14:paraId="7E110CB9" w14:textId="77777777" w:rsidR="0046463C" w:rsidRPr="00526A1B" w:rsidRDefault="00A854D0" w:rsidP="0046463C">
            <w:pPr>
              <w:spacing w:after="0"/>
              <w:jc w:val="center"/>
              <w:rPr>
                <w:rFonts w:cs="Arial"/>
              </w:rPr>
            </w:pPr>
            <w:r w:rsidRPr="00526A1B">
              <w:rPr>
                <w:rFonts w:cs="Arial"/>
              </w:rPr>
              <w:t>Adult social care precept</w:t>
            </w:r>
          </w:p>
        </w:tc>
        <w:tc>
          <w:tcPr>
            <w:tcW w:w="1701" w:type="dxa"/>
            <w:vAlign w:val="center"/>
          </w:tcPr>
          <w:p w14:paraId="6F2216AE" w14:textId="77777777" w:rsidR="0046463C" w:rsidRPr="00526A1B" w:rsidRDefault="00A854D0" w:rsidP="0046463C">
            <w:pPr>
              <w:spacing w:after="0"/>
              <w:jc w:val="center"/>
              <w:rPr>
                <w:rFonts w:cs="Arial"/>
              </w:rPr>
            </w:pPr>
            <w:r w:rsidRPr="00526A1B">
              <w:rPr>
                <w:rFonts w:cs="Arial"/>
              </w:rPr>
              <w:t>Total council tax increase</w:t>
            </w:r>
          </w:p>
        </w:tc>
      </w:tr>
      <w:tr w:rsidR="006C72FB" w14:paraId="7ADD0DBB" w14:textId="77777777" w:rsidTr="00F3723A">
        <w:trPr>
          <w:jc w:val="center"/>
        </w:trPr>
        <w:tc>
          <w:tcPr>
            <w:tcW w:w="1129" w:type="dxa"/>
          </w:tcPr>
          <w:p w14:paraId="63E5474B" w14:textId="77777777" w:rsidR="0046463C" w:rsidRPr="00526A1B" w:rsidRDefault="00A854D0" w:rsidP="0046463C">
            <w:pPr>
              <w:spacing w:after="0"/>
              <w:rPr>
                <w:rFonts w:cs="Arial"/>
              </w:rPr>
            </w:pPr>
            <w:r w:rsidRPr="00526A1B">
              <w:rPr>
                <w:rFonts w:cs="Arial"/>
              </w:rPr>
              <w:t>2023/24</w:t>
            </w:r>
          </w:p>
        </w:tc>
        <w:tc>
          <w:tcPr>
            <w:tcW w:w="1843" w:type="dxa"/>
          </w:tcPr>
          <w:p w14:paraId="6DECF6C3" w14:textId="77777777" w:rsidR="0046463C" w:rsidRPr="00526A1B" w:rsidRDefault="00A854D0" w:rsidP="0046463C">
            <w:pPr>
              <w:spacing w:after="0"/>
              <w:jc w:val="center"/>
              <w:rPr>
                <w:rFonts w:cs="Arial"/>
              </w:rPr>
            </w:pPr>
            <w:r w:rsidRPr="00526A1B">
              <w:rPr>
                <w:rFonts w:cs="Arial"/>
              </w:rPr>
              <w:t>1.99%</w:t>
            </w:r>
          </w:p>
        </w:tc>
        <w:tc>
          <w:tcPr>
            <w:tcW w:w="1843" w:type="dxa"/>
          </w:tcPr>
          <w:p w14:paraId="36C393F9" w14:textId="33286760" w:rsidR="0046463C" w:rsidRPr="00526A1B" w:rsidRDefault="00A854D0" w:rsidP="0046463C">
            <w:pPr>
              <w:spacing w:after="0"/>
              <w:jc w:val="center"/>
              <w:rPr>
                <w:rFonts w:cs="Arial"/>
              </w:rPr>
            </w:pPr>
            <w:r w:rsidRPr="10C4151D">
              <w:rPr>
                <w:rFonts w:cs="Arial"/>
              </w:rPr>
              <w:t>1</w:t>
            </w:r>
            <w:r w:rsidR="005F28BA" w:rsidRPr="00526A1B">
              <w:rPr>
                <w:rFonts w:cs="Arial"/>
              </w:rPr>
              <w:t>.00%</w:t>
            </w:r>
          </w:p>
        </w:tc>
        <w:tc>
          <w:tcPr>
            <w:tcW w:w="1701" w:type="dxa"/>
          </w:tcPr>
          <w:p w14:paraId="08107820" w14:textId="5900F818" w:rsidR="0046463C" w:rsidRPr="00526A1B" w:rsidRDefault="00A854D0" w:rsidP="0046463C">
            <w:pPr>
              <w:spacing w:after="0"/>
              <w:jc w:val="center"/>
              <w:rPr>
                <w:rFonts w:cs="Arial"/>
              </w:rPr>
            </w:pPr>
            <w:r w:rsidRPr="0DD202C2">
              <w:rPr>
                <w:rFonts w:cs="Arial"/>
              </w:rPr>
              <w:t>2</w:t>
            </w:r>
            <w:r w:rsidR="005F28BA" w:rsidRPr="00526A1B">
              <w:rPr>
                <w:rFonts w:cs="Arial"/>
              </w:rPr>
              <w:t>.99%</w:t>
            </w:r>
          </w:p>
        </w:tc>
      </w:tr>
      <w:tr w:rsidR="006C72FB" w14:paraId="700B14F8" w14:textId="77777777" w:rsidTr="00F3723A">
        <w:trPr>
          <w:jc w:val="center"/>
        </w:trPr>
        <w:tc>
          <w:tcPr>
            <w:tcW w:w="1129" w:type="dxa"/>
          </w:tcPr>
          <w:p w14:paraId="0D64C249" w14:textId="77777777" w:rsidR="0046463C" w:rsidRPr="00526A1B" w:rsidRDefault="00A854D0" w:rsidP="0046463C">
            <w:pPr>
              <w:spacing w:after="0"/>
              <w:rPr>
                <w:rFonts w:cs="Arial"/>
              </w:rPr>
            </w:pPr>
            <w:r w:rsidRPr="00526A1B">
              <w:rPr>
                <w:rFonts w:cs="Arial"/>
              </w:rPr>
              <w:t>2024/25</w:t>
            </w:r>
          </w:p>
        </w:tc>
        <w:tc>
          <w:tcPr>
            <w:tcW w:w="1843" w:type="dxa"/>
          </w:tcPr>
          <w:p w14:paraId="6D7E2E07" w14:textId="77777777" w:rsidR="0046463C" w:rsidRPr="00526A1B" w:rsidRDefault="00A854D0" w:rsidP="0046463C">
            <w:pPr>
              <w:spacing w:after="0"/>
              <w:jc w:val="center"/>
              <w:rPr>
                <w:rFonts w:cs="Arial"/>
              </w:rPr>
            </w:pPr>
            <w:r w:rsidRPr="00526A1B">
              <w:rPr>
                <w:rFonts w:cs="Arial"/>
              </w:rPr>
              <w:t>1.99%</w:t>
            </w:r>
          </w:p>
        </w:tc>
        <w:tc>
          <w:tcPr>
            <w:tcW w:w="1843" w:type="dxa"/>
          </w:tcPr>
          <w:p w14:paraId="1CB8B5A3" w14:textId="4C2710A6" w:rsidR="0046463C" w:rsidRPr="00526A1B" w:rsidRDefault="00A854D0" w:rsidP="0046463C">
            <w:pPr>
              <w:spacing w:after="0"/>
              <w:jc w:val="center"/>
              <w:rPr>
                <w:rFonts w:cs="Arial"/>
              </w:rPr>
            </w:pPr>
            <w:r w:rsidRPr="0DD202C2">
              <w:rPr>
                <w:rFonts w:cs="Arial"/>
              </w:rPr>
              <w:t>1</w:t>
            </w:r>
            <w:r w:rsidR="005F28BA" w:rsidRPr="00526A1B">
              <w:rPr>
                <w:rFonts w:cs="Arial"/>
              </w:rPr>
              <w:t>.00%</w:t>
            </w:r>
          </w:p>
        </w:tc>
        <w:tc>
          <w:tcPr>
            <w:tcW w:w="1701" w:type="dxa"/>
          </w:tcPr>
          <w:p w14:paraId="751CE1B0" w14:textId="4B91AA31" w:rsidR="0046463C" w:rsidRPr="00526A1B" w:rsidRDefault="00A854D0" w:rsidP="0046463C">
            <w:pPr>
              <w:spacing w:after="0"/>
              <w:jc w:val="center"/>
              <w:rPr>
                <w:rFonts w:cs="Arial"/>
              </w:rPr>
            </w:pPr>
            <w:r w:rsidRPr="194083FB">
              <w:rPr>
                <w:rFonts w:cs="Arial"/>
              </w:rPr>
              <w:t>2</w:t>
            </w:r>
            <w:r w:rsidR="005F28BA" w:rsidRPr="00526A1B">
              <w:rPr>
                <w:rFonts w:cs="Arial"/>
              </w:rPr>
              <w:t>.99%</w:t>
            </w:r>
          </w:p>
        </w:tc>
      </w:tr>
      <w:tr w:rsidR="006C72FB" w14:paraId="1C9C56B5" w14:textId="77777777" w:rsidTr="00F3723A">
        <w:trPr>
          <w:jc w:val="center"/>
        </w:trPr>
        <w:tc>
          <w:tcPr>
            <w:tcW w:w="1129" w:type="dxa"/>
          </w:tcPr>
          <w:p w14:paraId="1C2B3C7A" w14:textId="03B6708E" w:rsidR="0032286F" w:rsidRPr="00526A1B" w:rsidRDefault="00A854D0" w:rsidP="0046463C">
            <w:pPr>
              <w:spacing w:after="0"/>
              <w:rPr>
                <w:rFonts w:cs="Arial"/>
              </w:rPr>
            </w:pPr>
            <w:r>
              <w:rPr>
                <w:rFonts w:cs="Arial"/>
              </w:rPr>
              <w:t>2025/26</w:t>
            </w:r>
          </w:p>
        </w:tc>
        <w:tc>
          <w:tcPr>
            <w:tcW w:w="1843" w:type="dxa"/>
          </w:tcPr>
          <w:p w14:paraId="41BBCEC4" w14:textId="0C0ECC87" w:rsidR="0032286F" w:rsidRPr="00526A1B" w:rsidRDefault="00A854D0" w:rsidP="0046463C">
            <w:pPr>
              <w:spacing w:after="0"/>
              <w:jc w:val="center"/>
              <w:rPr>
                <w:rFonts w:cs="Arial"/>
              </w:rPr>
            </w:pPr>
            <w:r>
              <w:rPr>
                <w:rFonts w:cs="Arial"/>
              </w:rPr>
              <w:t>1.99%</w:t>
            </w:r>
          </w:p>
        </w:tc>
        <w:tc>
          <w:tcPr>
            <w:tcW w:w="1843" w:type="dxa"/>
          </w:tcPr>
          <w:p w14:paraId="5CF802C1" w14:textId="5A6ADA83" w:rsidR="0032286F" w:rsidRPr="00526A1B" w:rsidRDefault="00A854D0" w:rsidP="0046463C">
            <w:pPr>
              <w:spacing w:after="0"/>
              <w:jc w:val="center"/>
              <w:rPr>
                <w:rFonts w:cs="Arial"/>
              </w:rPr>
            </w:pPr>
            <w:r>
              <w:rPr>
                <w:rFonts w:cs="Arial"/>
              </w:rPr>
              <w:t>1.00%</w:t>
            </w:r>
          </w:p>
        </w:tc>
        <w:tc>
          <w:tcPr>
            <w:tcW w:w="1701" w:type="dxa"/>
          </w:tcPr>
          <w:p w14:paraId="318E7FE1" w14:textId="536271B4" w:rsidR="0032286F" w:rsidRPr="00526A1B" w:rsidRDefault="00A854D0" w:rsidP="0046463C">
            <w:pPr>
              <w:spacing w:after="0"/>
              <w:jc w:val="center"/>
              <w:rPr>
                <w:rFonts w:cs="Arial"/>
              </w:rPr>
            </w:pPr>
            <w:r>
              <w:rPr>
                <w:rFonts w:cs="Arial"/>
              </w:rPr>
              <w:t>2.99%</w:t>
            </w:r>
          </w:p>
        </w:tc>
      </w:tr>
      <w:tr w:rsidR="006C72FB" w14:paraId="15C7BEFD" w14:textId="77777777" w:rsidTr="00F3723A">
        <w:trPr>
          <w:jc w:val="center"/>
        </w:trPr>
        <w:tc>
          <w:tcPr>
            <w:tcW w:w="1129" w:type="dxa"/>
          </w:tcPr>
          <w:p w14:paraId="11719842" w14:textId="33DB09B0" w:rsidR="0032286F" w:rsidRPr="00526A1B" w:rsidRDefault="00A854D0" w:rsidP="0046463C">
            <w:pPr>
              <w:spacing w:after="0"/>
              <w:rPr>
                <w:rFonts w:cs="Arial"/>
              </w:rPr>
            </w:pPr>
            <w:r>
              <w:rPr>
                <w:rFonts w:cs="Arial"/>
              </w:rPr>
              <w:t>2026/27</w:t>
            </w:r>
          </w:p>
        </w:tc>
        <w:tc>
          <w:tcPr>
            <w:tcW w:w="1843" w:type="dxa"/>
          </w:tcPr>
          <w:p w14:paraId="4DEAE1CF" w14:textId="1E87F171" w:rsidR="0032286F" w:rsidRPr="00526A1B" w:rsidRDefault="00A854D0" w:rsidP="0046463C">
            <w:pPr>
              <w:spacing w:after="0"/>
              <w:jc w:val="center"/>
              <w:rPr>
                <w:rFonts w:cs="Arial"/>
              </w:rPr>
            </w:pPr>
            <w:r>
              <w:rPr>
                <w:rFonts w:cs="Arial"/>
              </w:rPr>
              <w:t>1.99%</w:t>
            </w:r>
          </w:p>
        </w:tc>
        <w:tc>
          <w:tcPr>
            <w:tcW w:w="1843" w:type="dxa"/>
          </w:tcPr>
          <w:p w14:paraId="46E5A721" w14:textId="4AB556C8" w:rsidR="0032286F" w:rsidRPr="00526A1B" w:rsidRDefault="00A854D0" w:rsidP="0046463C">
            <w:pPr>
              <w:spacing w:after="0"/>
              <w:jc w:val="center"/>
              <w:rPr>
                <w:rFonts w:cs="Arial"/>
              </w:rPr>
            </w:pPr>
            <w:r>
              <w:rPr>
                <w:rFonts w:cs="Arial"/>
              </w:rPr>
              <w:t>1.00%</w:t>
            </w:r>
          </w:p>
        </w:tc>
        <w:tc>
          <w:tcPr>
            <w:tcW w:w="1701" w:type="dxa"/>
          </w:tcPr>
          <w:p w14:paraId="73496A29" w14:textId="1D1C84D7" w:rsidR="0032286F" w:rsidRPr="00526A1B" w:rsidRDefault="00A854D0" w:rsidP="0046463C">
            <w:pPr>
              <w:spacing w:after="0"/>
              <w:jc w:val="center"/>
              <w:rPr>
                <w:rFonts w:cs="Arial"/>
              </w:rPr>
            </w:pPr>
            <w:r>
              <w:rPr>
                <w:rFonts w:cs="Arial"/>
              </w:rPr>
              <w:t>2.99%</w:t>
            </w:r>
          </w:p>
        </w:tc>
      </w:tr>
    </w:tbl>
    <w:p w14:paraId="74306DFE" w14:textId="77777777" w:rsidR="0046463C" w:rsidRPr="003A755A" w:rsidRDefault="0046463C" w:rsidP="0046463C">
      <w:pPr>
        <w:spacing w:after="0"/>
        <w:rPr>
          <w:rFonts w:cs="Arial"/>
          <w:highlight w:val="yellow"/>
        </w:rPr>
      </w:pPr>
    </w:p>
    <w:p w14:paraId="00F8ABE1" w14:textId="34BCFCF7" w:rsidR="0046463C" w:rsidRPr="003A755A" w:rsidRDefault="00A854D0" w:rsidP="0046463C">
      <w:pPr>
        <w:spacing w:after="0"/>
        <w:rPr>
          <w:rFonts w:cs="Arial"/>
          <w:u w:val="single"/>
        </w:rPr>
      </w:pPr>
      <w:r w:rsidRPr="4934AB19">
        <w:rPr>
          <w:rFonts w:cs="Arial"/>
        </w:rPr>
        <w:t>We await confirmation</w:t>
      </w:r>
      <w:r w:rsidR="000471CA" w:rsidRPr="200D3689">
        <w:rPr>
          <w:rFonts w:cs="Arial"/>
        </w:rPr>
        <w:t>,</w:t>
      </w:r>
      <w:r w:rsidRPr="4934AB19">
        <w:rPr>
          <w:rFonts w:cs="Arial"/>
        </w:rPr>
        <w:t xml:space="preserve"> </w:t>
      </w:r>
      <w:r w:rsidR="00D14CC0" w:rsidRPr="4934AB19">
        <w:rPr>
          <w:rFonts w:cs="Arial"/>
        </w:rPr>
        <w:t xml:space="preserve">in </w:t>
      </w:r>
      <w:r w:rsidRPr="4934AB19">
        <w:rPr>
          <w:rFonts w:cs="Arial"/>
        </w:rPr>
        <w:t>the Autumn</w:t>
      </w:r>
      <w:r w:rsidR="003102A5" w:rsidRPr="4934AB19">
        <w:rPr>
          <w:rFonts w:cs="Arial"/>
        </w:rPr>
        <w:t>, of</w:t>
      </w:r>
      <w:r w:rsidRPr="4934AB19">
        <w:rPr>
          <w:rFonts w:cs="Arial"/>
        </w:rPr>
        <w:t xml:space="preserve"> the</w:t>
      </w:r>
      <w:r w:rsidR="005F28BA" w:rsidRPr="4934AB19">
        <w:rPr>
          <w:rFonts w:cs="Arial"/>
        </w:rPr>
        <w:t xml:space="preserve"> maximum increase that we will be able to apply to council tax without a referendum</w:t>
      </w:r>
      <w:r w:rsidRPr="4934AB19">
        <w:rPr>
          <w:rFonts w:cs="Arial"/>
        </w:rPr>
        <w:t xml:space="preserve">. However, as part of the modelling for this </w:t>
      </w:r>
      <w:r w:rsidR="00806739">
        <w:rPr>
          <w:rFonts w:cs="Arial"/>
        </w:rPr>
        <w:t>medium term financial strategy</w:t>
      </w:r>
      <w:r w:rsidRPr="4934AB19">
        <w:rPr>
          <w:rFonts w:cs="Arial"/>
        </w:rPr>
        <w:t xml:space="preserve"> we have assumed this will </w:t>
      </w:r>
      <w:r w:rsidR="005F28BA" w:rsidRPr="4934AB19">
        <w:rPr>
          <w:rFonts w:cs="Arial"/>
        </w:rPr>
        <w:t>be 1.99%.</w:t>
      </w:r>
      <w:r w:rsidR="00366171" w:rsidRPr="4934AB19">
        <w:rPr>
          <w:rFonts w:cs="Arial"/>
        </w:rPr>
        <w:t xml:space="preserve"> We have also assumed that the adult social care prec</w:t>
      </w:r>
      <w:r w:rsidR="00FA46A3" w:rsidRPr="4934AB19">
        <w:rPr>
          <w:rFonts w:cs="Arial"/>
        </w:rPr>
        <w:t>ep</w:t>
      </w:r>
      <w:r w:rsidR="00366171" w:rsidRPr="4934AB19">
        <w:rPr>
          <w:rFonts w:cs="Arial"/>
        </w:rPr>
        <w:t xml:space="preserve">t will continue to be offered as an option to </w:t>
      </w:r>
      <w:r w:rsidR="00366171" w:rsidRPr="4934AB19">
        <w:rPr>
          <w:rFonts w:cs="Arial"/>
        </w:rPr>
        <w:lastRenderedPageBreak/>
        <w:t xml:space="preserve">those authorities </w:t>
      </w:r>
      <w:r w:rsidR="000D1652" w:rsidRPr="4934AB19">
        <w:rPr>
          <w:rFonts w:cs="Arial"/>
        </w:rPr>
        <w:t>with social care responsibility throughout the strategy</w:t>
      </w:r>
      <w:r w:rsidR="00B34CDC" w:rsidRPr="4934AB19">
        <w:rPr>
          <w:rFonts w:cs="Arial"/>
        </w:rPr>
        <w:t xml:space="preserve"> and have forecast a 1% increase in relation to this element.</w:t>
      </w:r>
      <w:r w:rsidR="005F28BA" w:rsidRPr="4934AB19">
        <w:rPr>
          <w:rFonts w:cs="Arial"/>
        </w:rPr>
        <w:t xml:space="preserve"> Any decisions not to increase council tax in line with the assumptions above would increase the financial gap; every 1% in council tax yields circa £</w:t>
      </w:r>
      <w:r w:rsidR="00834AD7" w:rsidRPr="4934AB19">
        <w:rPr>
          <w:rFonts w:cs="Arial"/>
        </w:rPr>
        <w:t>6m</w:t>
      </w:r>
      <w:r w:rsidR="005F28BA" w:rsidRPr="4934AB19">
        <w:rPr>
          <w:rFonts w:cs="Arial"/>
        </w:rPr>
        <w:t>.</w:t>
      </w:r>
    </w:p>
    <w:p w14:paraId="5EE67AED" w14:textId="77777777" w:rsidR="0046463C" w:rsidRPr="003A755A" w:rsidRDefault="0046463C" w:rsidP="0046463C">
      <w:pPr>
        <w:spacing w:after="0"/>
        <w:rPr>
          <w:rFonts w:cs="Arial"/>
          <w:b/>
        </w:rPr>
      </w:pPr>
    </w:p>
    <w:p w14:paraId="4B06CC09" w14:textId="514168F8" w:rsidR="0046463C" w:rsidRPr="003A755A" w:rsidRDefault="00A854D0" w:rsidP="0046463C">
      <w:pPr>
        <w:spacing w:after="0"/>
        <w:rPr>
          <w:rFonts w:cs="Arial"/>
        </w:rPr>
      </w:pPr>
      <w:r w:rsidRPr="4934AB19">
        <w:rPr>
          <w:rFonts w:cs="Arial"/>
        </w:rPr>
        <w:t xml:space="preserve">The calculation of the council tax base position is particularly challenging as district councils need to assess the number of properties that can be taxed, the collection rate </w:t>
      </w:r>
      <w:r w:rsidR="00D072C7" w:rsidRPr="4934AB19">
        <w:rPr>
          <w:rFonts w:cs="Arial"/>
        </w:rPr>
        <w:t>and</w:t>
      </w:r>
      <w:r w:rsidRPr="4934AB19">
        <w:rPr>
          <w:rFonts w:cs="Arial"/>
        </w:rPr>
        <w:t xml:space="preserve"> the council tax support schemes that they offer. </w:t>
      </w:r>
      <w:r w:rsidR="002A0C80" w:rsidRPr="4934AB19">
        <w:rPr>
          <w:rFonts w:cs="Arial"/>
        </w:rPr>
        <w:t>The County Council has very limited information about the taxbase position</w:t>
      </w:r>
      <w:r w:rsidR="00593AAA" w:rsidRPr="4934AB19">
        <w:rPr>
          <w:rFonts w:cs="Arial"/>
        </w:rPr>
        <w:t xml:space="preserve"> looking forward and </w:t>
      </w:r>
      <w:r w:rsidR="002A0C80" w:rsidRPr="4934AB19">
        <w:rPr>
          <w:rFonts w:cs="Arial"/>
        </w:rPr>
        <w:t xml:space="preserve">so has </w:t>
      </w:r>
      <w:r w:rsidR="001A6210" w:rsidRPr="175EC9AE">
        <w:rPr>
          <w:rFonts w:cs="Arial"/>
        </w:rPr>
        <w:t>assumed</w:t>
      </w:r>
      <w:r w:rsidR="00593AAA" w:rsidRPr="4934AB19">
        <w:rPr>
          <w:rFonts w:cs="Arial"/>
        </w:rPr>
        <w:t>, based on historical average increases,</w:t>
      </w:r>
      <w:r w:rsidR="002A0C80" w:rsidRPr="4934AB19">
        <w:rPr>
          <w:rFonts w:cs="Arial"/>
        </w:rPr>
        <w:t xml:space="preserve"> </w:t>
      </w:r>
      <w:r w:rsidR="001A6210" w:rsidRPr="175EC9AE">
        <w:rPr>
          <w:rFonts w:cs="Arial"/>
        </w:rPr>
        <w:t xml:space="preserve">that tax base will </w:t>
      </w:r>
      <w:r w:rsidR="002A0C80" w:rsidRPr="4934AB19">
        <w:rPr>
          <w:rFonts w:cs="Arial"/>
        </w:rPr>
        <w:t xml:space="preserve">increase </w:t>
      </w:r>
      <w:r w:rsidR="001A6210" w:rsidRPr="175EC9AE">
        <w:rPr>
          <w:rFonts w:cs="Arial"/>
        </w:rPr>
        <w:t>by</w:t>
      </w:r>
      <w:r w:rsidR="002A0C80" w:rsidRPr="4934AB19">
        <w:rPr>
          <w:rFonts w:cs="Arial"/>
        </w:rPr>
        <w:t xml:space="preserve"> 1</w:t>
      </w:r>
      <w:r w:rsidR="00593AAA" w:rsidRPr="4934AB19">
        <w:rPr>
          <w:rFonts w:cs="Arial"/>
        </w:rPr>
        <w:t>.7</w:t>
      </w:r>
      <w:r w:rsidR="002A0C80" w:rsidRPr="1AD9B648">
        <w:rPr>
          <w:rFonts w:cs="Arial"/>
        </w:rPr>
        <w:t>%</w:t>
      </w:r>
      <w:r w:rsidR="009C62D5" w:rsidRPr="1AD9B648">
        <w:rPr>
          <w:rFonts w:cs="Arial"/>
        </w:rPr>
        <w:t>.</w:t>
      </w:r>
      <w:r w:rsidR="009C62D5" w:rsidRPr="4934AB19">
        <w:rPr>
          <w:rFonts w:cs="Arial"/>
        </w:rPr>
        <w:t xml:space="preserve"> It is hoped that the recovery</w:t>
      </w:r>
      <w:r w:rsidR="0087344F" w:rsidRPr="4934AB19">
        <w:rPr>
          <w:rFonts w:cs="Arial"/>
        </w:rPr>
        <w:t xml:space="preserve"> </w:t>
      </w:r>
      <w:r w:rsidR="0087344F" w:rsidRPr="175EC9AE">
        <w:rPr>
          <w:rFonts w:cs="Arial"/>
        </w:rPr>
        <w:t>tax</w:t>
      </w:r>
      <w:r w:rsidR="0027036E" w:rsidRPr="175EC9AE">
        <w:rPr>
          <w:rFonts w:cs="Arial"/>
        </w:rPr>
        <w:t xml:space="preserve"> </w:t>
      </w:r>
      <w:r w:rsidR="0087344F" w:rsidRPr="175EC9AE">
        <w:rPr>
          <w:rFonts w:cs="Arial"/>
        </w:rPr>
        <w:t>base</w:t>
      </w:r>
      <w:r w:rsidR="0087344F" w:rsidRPr="4934AB19">
        <w:rPr>
          <w:rFonts w:cs="Arial"/>
        </w:rPr>
        <w:t xml:space="preserve"> made in 2022/23 (1.69%)</w:t>
      </w:r>
      <w:r w:rsidR="002A0762" w:rsidRPr="4934AB19">
        <w:rPr>
          <w:rFonts w:cs="Arial"/>
        </w:rPr>
        <w:t xml:space="preserve"> during the pandemic</w:t>
      </w:r>
      <w:r w:rsidR="0087344F" w:rsidRPr="4934AB19">
        <w:rPr>
          <w:rFonts w:cs="Arial"/>
        </w:rPr>
        <w:t xml:space="preserve"> will </w:t>
      </w:r>
      <w:r w:rsidR="002A0762" w:rsidRPr="4934AB19">
        <w:rPr>
          <w:rFonts w:cs="Arial"/>
        </w:rPr>
        <w:t>continue.</w:t>
      </w:r>
    </w:p>
    <w:p w14:paraId="0670F09A" w14:textId="77777777" w:rsidR="0046463C" w:rsidRPr="003A755A" w:rsidRDefault="0046463C" w:rsidP="0046463C">
      <w:pPr>
        <w:spacing w:after="0"/>
        <w:rPr>
          <w:rFonts w:cs="Arial"/>
          <w:b/>
          <w:highlight w:val="yellow"/>
        </w:rPr>
      </w:pPr>
    </w:p>
    <w:p w14:paraId="35CAEC08" w14:textId="77777777" w:rsidR="0046463C" w:rsidRPr="00526A1B" w:rsidRDefault="00A854D0" w:rsidP="0046463C">
      <w:pPr>
        <w:spacing w:after="0"/>
        <w:rPr>
          <w:rFonts w:cs="Arial"/>
          <w:b/>
          <w:i/>
        </w:rPr>
      </w:pPr>
      <w:r w:rsidRPr="00526A1B">
        <w:rPr>
          <w:rFonts w:cs="Arial"/>
          <w:b/>
          <w:i/>
        </w:rPr>
        <w:t>Business rates</w:t>
      </w:r>
    </w:p>
    <w:p w14:paraId="44CDCF90" w14:textId="5564D8BF" w:rsidR="0046463C" w:rsidRPr="00526A1B" w:rsidRDefault="00A854D0" w:rsidP="0046463C">
      <w:pPr>
        <w:spacing w:after="0"/>
        <w:rPr>
          <w:rFonts w:cs="Arial"/>
        </w:rPr>
      </w:pPr>
      <w:r w:rsidRPr="00526A1B">
        <w:rPr>
          <w:rFonts w:cs="Arial"/>
        </w:rPr>
        <w:t xml:space="preserve">Business rates income is a significant portion of funding to local authorities. The baseline is an assessment of the business rate income required to meet service needs. For the county council, the amount we anticipate </w:t>
      </w:r>
      <w:r w:rsidRPr="1AD9B648">
        <w:rPr>
          <w:rFonts w:cs="Arial"/>
        </w:rPr>
        <w:t>receiving</w:t>
      </w:r>
      <w:r w:rsidRPr="00526A1B">
        <w:rPr>
          <w:rFonts w:cs="Arial"/>
        </w:rPr>
        <w:t xml:space="preserve"> from the business rates collected in the area is less than our assessed need and therefore we receive a top up grant. </w:t>
      </w:r>
      <w:r w:rsidR="007565BA">
        <w:rPr>
          <w:rFonts w:cs="Arial"/>
        </w:rPr>
        <w:t>We continue to build</w:t>
      </w:r>
      <w:r w:rsidRPr="00526A1B">
        <w:rPr>
          <w:rFonts w:cs="Arial"/>
        </w:rPr>
        <w:t xml:space="preserve"> in a small amount of growth into the </w:t>
      </w:r>
      <w:r w:rsidR="00CC20B4">
        <w:rPr>
          <w:rFonts w:cs="Arial"/>
        </w:rPr>
        <w:t>medium term financial strategy</w:t>
      </w:r>
      <w:r w:rsidR="00CC20B4" w:rsidRPr="00526A1B">
        <w:rPr>
          <w:rFonts w:cs="Arial"/>
        </w:rPr>
        <w:t xml:space="preserve"> </w:t>
      </w:r>
      <w:r w:rsidRPr="00526A1B">
        <w:rPr>
          <w:rFonts w:cs="Arial"/>
        </w:rPr>
        <w:t>for our local share at 0.5%.</w:t>
      </w:r>
    </w:p>
    <w:p w14:paraId="26A0AD4B" w14:textId="77777777" w:rsidR="0046463C" w:rsidRPr="003A755A" w:rsidRDefault="0046463C" w:rsidP="0046463C">
      <w:pPr>
        <w:tabs>
          <w:tab w:val="left" w:pos="567"/>
          <w:tab w:val="left" w:pos="1134"/>
        </w:tabs>
        <w:spacing w:after="0"/>
        <w:rPr>
          <w:rFonts w:cs="Arial"/>
          <w:highlight w:val="yellow"/>
        </w:rPr>
      </w:pPr>
    </w:p>
    <w:p w14:paraId="52A69A49" w14:textId="3E6E81F1" w:rsidR="0046463C" w:rsidRPr="00816D10" w:rsidRDefault="00A854D0" w:rsidP="0046463C">
      <w:pPr>
        <w:tabs>
          <w:tab w:val="left" w:pos="567"/>
          <w:tab w:val="left" w:pos="1134"/>
        </w:tabs>
        <w:spacing w:after="0"/>
        <w:rPr>
          <w:rFonts w:cs="Arial"/>
        </w:rPr>
      </w:pPr>
      <w:r w:rsidRPr="00816D10">
        <w:rPr>
          <w:rFonts w:cs="Arial"/>
        </w:rPr>
        <w:t>As a result of the impact of C</w:t>
      </w:r>
      <w:r w:rsidR="00CC20B4">
        <w:rPr>
          <w:rFonts w:cs="Arial"/>
        </w:rPr>
        <w:t>OVID</w:t>
      </w:r>
      <w:r w:rsidRPr="00816D10">
        <w:rPr>
          <w:rFonts w:cs="Arial"/>
        </w:rPr>
        <w:t>-19, the national review of business rates has been delayed and as part of the provisional settlement 202</w:t>
      </w:r>
      <w:r w:rsidR="00816D10" w:rsidRPr="00816D10">
        <w:rPr>
          <w:rFonts w:cs="Arial"/>
        </w:rPr>
        <w:t>3</w:t>
      </w:r>
      <w:r w:rsidRPr="00816D10">
        <w:rPr>
          <w:rFonts w:cs="Arial"/>
        </w:rPr>
        <w:t>/2</w:t>
      </w:r>
      <w:r w:rsidR="00816D10" w:rsidRPr="00816D10">
        <w:rPr>
          <w:rFonts w:cs="Arial"/>
        </w:rPr>
        <w:t>4</w:t>
      </w:r>
      <w:r w:rsidRPr="00816D10">
        <w:rPr>
          <w:rFonts w:cs="Arial"/>
        </w:rPr>
        <w:t xml:space="preserve"> rates will effectively be a 'rollover' of 202</w:t>
      </w:r>
      <w:r w:rsidR="00816D10" w:rsidRPr="00816D10">
        <w:rPr>
          <w:rFonts w:cs="Arial"/>
        </w:rPr>
        <w:t>2</w:t>
      </w:r>
      <w:r w:rsidRPr="00816D10">
        <w:rPr>
          <w:rFonts w:cs="Arial"/>
        </w:rPr>
        <w:t>/2</w:t>
      </w:r>
      <w:r w:rsidR="00816D10" w:rsidRPr="00816D10">
        <w:rPr>
          <w:rFonts w:cs="Arial"/>
        </w:rPr>
        <w:t>3</w:t>
      </w:r>
      <w:r w:rsidRPr="00816D10">
        <w:rPr>
          <w:rFonts w:cs="Arial"/>
        </w:rPr>
        <w:t xml:space="preserve"> – a continuation of the 50% scheme, with the 75% scheme </w:t>
      </w:r>
      <w:r w:rsidR="007565BA" w:rsidRPr="1CB38D2C">
        <w:rPr>
          <w:rFonts w:cs="Arial"/>
        </w:rPr>
        <w:t>unlikely</w:t>
      </w:r>
      <w:r w:rsidR="007565BA">
        <w:rPr>
          <w:rFonts w:cs="Arial"/>
        </w:rPr>
        <w:t xml:space="preserve"> to be in place before 202</w:t>
      </w:r>
      <w:r w:rsidR="009067D9">
        <w:rPr>
          <w:rFonts w:cs="Arial"/>
        </w:rPr>
        <w:t>5</w:t>
      </w:r>
      <w:r w:rsidR="007565BA">
        <w:rPr>
          <w:rFonts w:cs="Arial"/>
        </w:rPr>
        <w:t>/2</w:t>
      </w:r>
      <w:r w:rsidR="009067D9">
        <w:rPr>
          <w:rFonts w:cs="Arial"/>
        </w:rPr>
        <w:t>6</w:t>
      </w:r>
      <w:r w:rsidRPr="00816D10">
        <w:rPr>
          <w:rFonts w:cs="Arial"/>
        </w:rPr>
        <w:t xml:space="preserve">. </w:t>
      </w:r>
    </w:p>
    <w:p w14:paraId="5C79BA2F" w14:textId="77777777" w:rsidR="0046463C" w:rsidRPr="00816D10" w:rsidRDefault="0046463C" w:rsidP="0046463C">
      <w:pPr>
        <w:spacing w:after="0"/>
        <w:rPr>
          <w:b/>
        </w:rPr>
      </w:pPr>
    </w:p>
    <w:p w14:paraId="44E88AD8" w14:textId="77777777" w:rsidR="0046463C" w:rsidRPr="00526A1B" w:rsidRDefault="00A854D0" w:rsidP="0046463C">
      <w:pPr>
        <w:spacing w:after="0"/>
        <w:rPr>
          <w:b/>
          <w:i/>
        </w:rPr>
      </w:pPr>
      <w:r w:rsidRPr="00526A1B">
        <w:rPr>
          <w:b/>
          <w:i/>
        </w:rPr>
        <w:t>Collection Fund</w:t>
      </w:r>
    </w:p>
    <w:p w14:paraId="0657F8BF" w14:textId="300C8A09" w:rsidR="00262522" w:rsidRPr="009D4E14" w:rsidRDefault="00A854D0" w:rsidP="0046463C">
      <w:pPr>
        <w:spacing w:after="0"/>
        <w:rPr>
          <w:rFonts w:cs="Arial"/>
        </w:rPr>
      </w:pPr>
      <w:r w:rsidRPr="0B86641D">
        <w:rPr>
          <w:rFonts w:cs="Arial"/>
        </w:rPr>
        <w:t>It is hoped that the 2022/23 surplus position on the combined collection fund will continue</w:t>
      </w:r>
      <w:r w:rsidR="00A01D0F" w:rsidRPr="0B86641D">
        <w:rPr>
          <w:rFonts w:cs="Arial"/>
        </w:rPr>
        <w:t xml:space="preserve"> to improve</w:t>
      </w:r>
      <w:r w:rsidRPr="0B86641D">
        <w:rPr>
          <w:rFonts w:cs="Arial"/>
        </w:rPr>
        <w:t xml:space="preserve"> across the strategy, with £</w:t>
      </w:r>
      <w:r w:rsidR="00A65D40" w:rsidRPr="0B86641D">
        <w:rPr>
          <w:rFonts w:cs="Arial"/>
        </w:rPr>
        <w:t xml:space="preserve">5m </w:t>
      </w:r>
      <w:r w:rsidRPr="0B86641D">
        <w:rPr>
          <w:rFonts w:cs="Arial"/>
        </w:rPr>
        <w:t>forecast in 2023/24</w:t>
      </w:r>
      <w:r w:rsidR="00A01D0F" w:rsidRPr="0B86641D">
        <w:rPr>
          <w:rFonts w:cs="Arial"/>
        </w:rPr>
        <w:t xml:space="preserve"> and thereafter.</w:t>
      </w:r>
      <w:r w:rsidRPr="0B86641D">
        <w:rPr>
          <w:rFonts w:cs="Arial"/>
        </w:rPr>
        <w:t xml:space="preserve"> </w:t>
      </w:r>
    </w:p>
    <w:p w14:paraId="46D341F7" w14:textId="77777777" w:rsidR="0046463C" w:rsidRPr="003A755A" w:rsidRDefault="0046463C" w:rsidP="0046463C">
      <w:pPr>
        <w:spacing w:after="0"/>
        <w:rPr>
          <w:rFonts w:cs="Arial"/>
          <w:highlight w:val="yellow"/>
        </w:rPr>
      </w:pPr>
    </w:p>
    <w:p w14:paraId="3196728E" w14:textId="77777777" w:rsidR="0046463C" w:rsidRPr="00816D10" w:rsidRDefault="00A854D0" w:rsidP="0046463C">
      <w:pPr>
        <w:spacing w:after="0"/>
        <w:rPr>
          <w:rFonts w:cs="Arial"/>
          <w:i/>
        </w:rPr>
      </w:pPr>
      <w:r w:rsidRPr="00816D10">
        <w:rPr>
          <w:rFonts w:cs="Arial"/>
          <w:b/>
          <w:i/>
        </w:rPr>
        <w:t>Capital Receipts</w:t>
      </w:r>
    </w:p>
    <w:p w14:paraId="03059E37" w14:textId="1930F645" w:rsidR="00B45905" w:rsidRPr="00C92954" w:rsidRDefault="00A854D0" w:rsidP="00B45905">
      <w:pPr>
        <w:tabs>
          <w:tab w:val="left" w:pos="567"/>
          <w:tab w:val="left" w:pos="1134"/>
        </w:tabs>
        <w:spacing w:after="0"/>
        <w:rPr>
          <w:rFonts w:cs="Arial"/>
        </w:rPr>
      </w:pPr>
      <w:r w:rsidRPr="00816D10">
        <w:t>In April</w:t>
      </w:r>
      <w:r>
        <w:t xml:space="preserve"> 2016,</w:t>
      </w:r>
      <w:r w:rsidRPr="00816D10">
        <w:t xml:space="preserve"> the government introduced the flexibility for capital receipts to be used to fund revenue expenditure that is designed to generate ongoing revenue savings or service improvements. This flexibility is currently available until 20</w:t>
      </w:r>
      <w:r w:rsidR="00886A82" w:rsidRPr="00816D10">
        <w:t>24/25 following a further extension announcement</w:t>
      </w:r>
      <w:r w:rsidR="00886A82" w:rsidRPr="2D8F4777">
        <w:rPr>
          <w:rFonts w:cs="Arial"/>
        </w:rPr>
        <w:t xml:space="preserve">. </w:t>
      </w:r>
      <w:r w:rsidRPr="00C92954">
        <w:rPr>
          <w:rFonts w:cs="Arial"/>
        </w:rPr>
        <w:t>The MTFS includes</w:t>
      </w:r>
      <w:r w:rsidR="00886A82" w:rsidRPr="00C92954">
        <w:rPr>
          <w:rFonts w:cs="Arial"/>
        </w:rPr>
        <w:t xml:space="preserve"> £2.000m</w:t>
      </w:r>
      <w:r w:rsidR="00C92954" w:rsidRPr="00C92954">
        <w:rPr>
          <w:rFonts w:cs="Arial"/>
        </w:rPr>
        <w:t xml:space="preserve"> income</w:t>
      </w:r>
      <w:r w:rsidR="00886A82" w:rsidRPr="00C92954">
        <w:rPr>
          <w:rFonts w:cs="Arial"/>
        </w:rPr>
        <w:t xml:space="preserve"> in 2023/24 and 2024/25</w:t>
      </w:r>
      <w:r w:rsidRPr="00C92954">
        <w:rPr>
          <w:rFonts w:cs="Arial"/>
        </w:rPr>
        <w:t xml:space="preserve">. </w:t>
      </w:r>
      <w:r w:rsidRPr="0B8C6090">
        <w:rPr>
          <w:rFonts w:cs="Arial"/>
        </w:rPr>
        <w:t xml:space="preserve">The </w:t>
      </w:r>
      <w:r w:rsidR="004D615B">
        <w:rPr>
          <w:rFonts w:cs="Arial"/>
        </w:rPr>
        <w:t xml:space="preserve">regulations surrounding the flexible use of capital receipts mean that the </w:t>
      </w:r>
      <w:r w:rsidR="003D481B">
        <w:rPr>
          <w:rFonts w:cs="Arial"/>
        </w:rPr>
        <w:t>funding</w:t>
      </w:r>
      <w:r w:rsidRPr="00C92954">
        <w:rPr>
          <w:rFonts w:cs="Arial"/>
        </w:rPr>
        <w:t xml:space="preserve"> will</w:t>
      </w:r>
      <w:r w:rsidR="003D481B">
        <w:rPr>
          <w:rFonts w:cs="Arial"/>
        </w:rPr>
        <w:t xml:space="preserve"> be used to</w:t>
      </w:r>
      <w:r w:rsidRPr="00C92954">
        <w:rPr>
          <w:rFonts w:cs="Arial"/>
        </w:rPr>
        <w:t xml:space="preserve"> support the plan for achieving financial sustainability through funding transformation projects, including efficiency measures, invest to save projects and new income generation plans</w:t>
      </w:r>
      <w:r w:rsidRPr="3B19A12B">
        <w:rPr>
          <w:rFonts w:cs="Arial"/>
        </w:rPr>
        <w:t xml:space="preserve">. </w:t>
      </w:r>
    </w:p>
    <w:p w14:paraId="182B7772" w14:textId="77777777" w:rsidR="00B45905" w:rsidRPr="003A755A" w:rsidRDefault="00B45905" w:rsidP="0046463C">
      <w:pPr>
        <w:tabs>
          <w:tab w:val="left" w:pos="567"/>
          <w:tab w:val="left" w:pos="1134"/>
        </w:tabs>
        <w:spacing w:after="0"/>
        <w:rPr>
          <w:rFonts w:cs="Arial"/>
          <w:highlight w:val="yellow"/>
        </w:rPr>
      </w:pPr>
    </w:p>
    <w:p w14:paraId="283DCA54" w14:textId="77777777" w:rsidR="0046463C" w:rsidRPr="00C92954" w:rsidRDefault="00A854D0" w:rsidP="0046463C">
      <w:pPr>
        <w:spacing w:after="0"/>
        <w:rPr>
          <w:rFonts w:cs="Arial"/>
          <w:b/>
        </w:rPr>
      </w:pPr>
      <w:r w:rsidRPr="00C92954">
        <w:rPr>
          <w:rFonts w:cs="Arial"/>
          <w:b/>
        </w:rPr>
        <w:t xml:space="preserve">3. Net budget requirement </w:t>
      </w:r>
    </w:p>
    <w:p w14:paraId="6587B581" w14:textId="77777777" w:rsidR="0046463C" w:rsidRPr="003A755A" w:rsidRDefault="0046463C" w:rsidP="0046463C">
      <w:pPr>
        <w:spacing w:after="0"/>
        <w:rPr>
          <w:rFonts w:cs="Arial"/>
          <w:b/>
          <w:highlight w:val="yellow"/>
        </w:rPr>
      </w:pPr>
    </w:p>
    <w:p w14:paraId="224B1086" w14:textId="53C9DAA6" w:rsidR="0046463C" w:rsidRPr="00C92954" w:rsidRDefault="00A854D0" w:rsidP="0046463C">
      <w:pPr>
        <w:tabs>
          <w:tab w:val="left" w:pos="567"/>
          <w:tab w:val="left" w:pos="1134"/>
        </w:tabs>
        <w:spacing w:after="0"/>
        <w:rPr>
          <w:rFonts w:cs="Arial"/>
        </w:rPr>
      </w:pPr>
      <w:r w:rsidRPr="00C92954">
        <w:rPr>
          <w:rFonts w:cs="Arial"/>
        </w:rPr>
        <w:t xml:space="preserve">The </w:t>
      </w:r>
      <w:r w:rsidR="00C630B3">
        <w:rPr>
          <w:rFonts w:cs="Arial"/>
        </w:rPr>
        <w:t>medium term financial strategy</w:t>
      </w:r>
      <w:r w:rsidRPr="00C92954">
        <w:rPr>
          <w:rFonts w:cs="Arial"/>
        </w:rPr>
        <w:t xml:space="preserve"> covers spending pressures including pay increases, contractual inflation, increased demand for services and the impact of previously agreed and new savings measures. </w:t>
      </w:r>
    </w:p>
    <w:p w14:paraId="34C5A56B" w14:textId="77777777" w:rsidR="0046463C" w:rsidRPr="003A755A" w:rsidRDefault="0046463C" w:rsidP="0046463C">
      <w:pPr>
        <w:spacing w:after="0"/>
        <w:rPr>
          <w:rFonts w:cs="Arial"/>
          <w:highlight w:val="yellow"/>
        </w:rPr>
      </w:pPr>
    </w:p>
    <w:p w14:paraId="1D67D151" w14:textId="77777777" w:rsidR="0046463C" w:rsidRPr="00990560" w:rsidRDefault="00A854D0" w:rsidP="0046463C">
      <w:pPr>
        <w:spacing w:after="0"/>
        <w:rPr>
          <w:rFonts w:cs="Arial"/>
          <w:b/>
        </w:rPr>
      </w:pPr>
      <w:r w:rsidRPr="00990560">
        <w:rPr>
          <w:rFonts w:cs="Arial"/>
          <w:b/>
        </w:rPr>
        <w:t>3.1 Pay and pensions</w:t>
      </w:r>
    </w:p>
    <w:p w14:paraId="32D5C2EE" w14:textId="5AC4CA1A" w:rsidR="0046463C" w:rsidRPr="003A755A" w:rsidRDefault="00A854D0" w:rsidP="0046463C">
      <w:pPr>
        <w:spacing w:after="0"/>
        <w:rPr>
          <w:rFonts w:cs="Arial"/>
          <w:highlight w:val="yellow"/>
        </w:rPr>
      </w:pPr>
      <w:r w:rsidRPr="001E16F9">
        <w:rPr>
          <w:rFonts w:cs="Arial"/>
        </w:rPr>
        <w:t xml:space="preserve">The </w:t>
      </w:r>
      <w:r w:rsidR="00C630B3">
        <w:rPr>
          <w:rFonts w:cs="Arial"/>
        </w:rPr>
        <w:t>medium term financial strategy</w:t>
      </w:r>
      <w:r w:rsidR="00C630B3" w:rsidRPr="001E16F9">
        <w:rPr>
          <w:rFonts w:cs="Arial"/>
        </w:rPr>
        <w:t xml:space="preserve"> </w:t>
      </w:r>
      <w:r w:rsidRPr="001E16F9">
        <w:rPr>
          <w:rFonts w:cs="Arial"/>
        </w:rPr>
        <w:t xml:space="preserve">at quarter </w:t>
      </w:r>
      <w:r w:rsidR="00873B1A" w:rsidRPr="001E16F9">
        <w:rPr>
          <w:rFonts w:cs="Arial"/>
        </w:rPr>
        <w:t>1</w:t>
      </w:r>
      <w:r w:rsidRPr="001E16F9">
        <w:rPr>
          <w:rFonts w:cs="Arial"/>
        </w:rPr>
        <w:t xml:space="preserve"> has changed significantly </w:t>
      </w:r>
      <w:r w:rsidR="00873B1A" w:rsidRPr="001E16F9">
        <w:rPr>
          <w:rFonts w:cs="Arial"/>
        </w:rPr>
        <w:t xml:space="preserve">since the last report to Full Council </w:t>
      </w:r>
      <w:r w:rsidR="00FF3479">
        <w:rPr>
          <w:rFonts w:cs="Arial"/>
        </w:rPr>
        <w:t>due to updated information in relation to pay award proposals</w:t>
      </w:r>
      <w:r w:rsidR="00873B1A" w:rsidRPr="001E16F9">
        <w:rPr>
          <w:rFonts w:cs="Arial"/>
        </w:rPr>
        <w:t xml:space="preserve">. The additional budget requirement </w:t>
      </w:r>
      <w:r w:rsidRPr="001E16F9">
        <w:rPr>
          <w:rFonts w:cs="Arial"/>
        </w:rPr>
        <w:t>assumes a</w:t>
      </w:r>
      <w:r w:rsidR="00C844D9">
        <w:rPr>
          <w:rFonts w:cs="Arial"/>
        </w:rPr>
        <w:t>n</w:t>
      </w:r>
      <w:r w:rsidRPr="001E16F9">
        <w:rPr>
          <w:rFonts w:cs="Arial"/>
        </w:rPr>
        <w:t xml:space="preserve"> </w:t>
      </w:r>
      <w:r w:rsidR="002E7859" w:rsidRPr="14BE16D4">
        <w:rPr>
          <w:rFonts w:cs="Arial"/>
        </w:rPr>
        <w:t>increase</w:t>
      </w:r>
      <w:r w:rsidR="002E7859" w:rsidRPr="001E16F9">
        <w:rPr>
          <w:rFonts w:cs="Arial"/>
        </w:rPr>
        <w:t xml:space="preserve"> in 2023/24 </w:t>
      </w:r>
      <w:r w:rsidR="002E7859" w:rsidRPr="68D31358">
        <w:rPr>
          <w:rFonts w:cs="Arial"/>
        </w:rPr>
        <w:t>(</w:t>
      </w:r>
      <w:r w:rsidR="00C844D9" w:rsidRPr="68D31358">
        <w:rPr>
          <w:rFonts w:cs="Arial"/>
        </w:rPr>
        <w:t>£</w:t>
      </w:r>
      <w:r w:rsidR="00C844D9">
        <w:rPr>
          <w:rFonts w:cs="Arial"/>
        </w:rPr>
        <w:t>1,</w:t>
      </w:r>
      <w:r w:rsidR="005F422D">
        <w:rPr>
          <w:rFonts w:cs="Arial"/>
        </w:rPr>
        <w:t>925 per employee</w:t>
      </w:r>
      <w:r w:rsidR="004A0AE0" w:rsidRPr="001E16F9">
        <w:rPr>
          <w:rFonts w:cs="Arial"/>
        </w:rPr>
        <w:t xml:space="preserve"> catch up for 2022/23 plus 4% for 2023/24</w:t>
      </w:r>
      <w:r w:rsidR="001948BE">
        <w:rPr>
          <w:rFonts w:cs="Arial"/>
        </w:rPr>
        <w:t>)</w:t>
      </w:r>
      <w:r w:rsidR="00DB31B7" w:rsidRPr="001E16F9">
        <w:rPr>
          <w:rFonts w:cs="Arial"/>
        </w:rPr>
        <w:t xml:space="preserve"> then a 2%</w:t>
      </w:r>
      <w:r w:rsidRPr="001E16F9">
        <w:rPr>
          <w:rFonts w:cs="Arial"/>
        </w:rPr>
        <w:t xml:space="preserve"> increase in </w:t>
      </w:r>
      <w:r w:rsidR="00873B1A" w:rsidRPr="001E16F9">
        <w:rPr>
          <w:rFonts w:cs="Arial"/>
        </w:rPr>
        <w:t>each future year</w:t>
      </w:r>
      <w:r w:rsidRPr="001E16F9">
        <w:rPr>
          <w:rFonts w:cs="Arial"/>
        </w:rPr>
        <w:t>.</w:t>
      </w:r>
      <w:r w:rsidR="00873B1A" w:rsidRPr="001E16F9">
        <w:rPr>
          <w:rFonts w:cs="Arial"/>
        </w:rPr>
        <w:t xml:space="preserve"> </w:t>
      </w:r>
      <w:r w:rsidR="009067D9">
        <w:rPr>
          <w:rFonts w:cs="Arial"/>
        </w:rPr>
        <w:t xml:space="preserve">The current pay offer for 2023/24 equates to an average pay award </w:t>
      </w:r>
      <w:r w:rsidR="009067D9">
        <w:rPr>
          <w:rFonts w:cs="Arial"/>
        </w:rPr>
        <w:lastRenderedPageBreak/>
        <w:t xml:space="preserve">of </w:t>
      </w:r>
      <w:r w:rsidR="00152008">
        <w:rPr>
          <w:rFonts w:cs="Arial"/>
        </w:rPr>
        <w:t>c7%</w:t>
      </w:r>
      <w:r w:rsidR="000B0754">
        <w:rPr>
          <w:rFonts w:cs="Arial"/>
        </w:rPr>
        <w:t xml:space="preserve"> </w:t>
      </w:r>
      <w:r w:rsidR="009067D9">
        <w:rPr>
          <w:rFonts w:cs="Arial"/>
        </w:rPr>
        <w:t xml:space="preserve">based on the grade mix, which is significantly higher than the 2% originally budgeted.  </w:t>
      </w:r>
      <w:r w:rsidR="00B15456" w:rsidRPr="001E16F9">
        <w:rPr>
          <w:rFonts w:cs="Arial"/>
        </w:rPr>
        <w:t xml:space="preserve">The vacancy </w:t>
      </w:r>
      <w:r w:rsidR="009C3D20">
        <w:rPr>
          <w:rFonts w:cs="Arial"/>
        </w:rPr>
        <w:t>factor has also been increased by the same</w:t>
      </w:r>
      <w:r w:rsidR="00D57A0B">
        <w:rPr>
          <w:rFonts w:cs="Arial"/>
        </w:rPr>
        <w:t xml:space="preserve"> equivalent</w:t>
      </w:r>
      <w:r w:rsidR="009C3D20">
        <w:rPr>
          <w:rFonts w:cs="Arial"/>
        </w:rPr>
        <w:t xml:space="preserve"> </w:t>
      </w:r>
      <w:r w:rsidR="005973D9" w:rsidRPr="005973D9">
        <w:rPr>
          <w:rFonts w:cs="Arial"/>
        </w:rPr>
        <w:t>percentages</w:t>
      </w:r>
      <w:r w:rsidR="009C3D20" w:rsidRPr="005973D9">
        <w:rPr>
          <w:rFonts w:cs="Arial"/>
        </w:rPr>
        <w:t xml:space="preserve">. </w:t>
      </w:r>
      <w:r w:rsidR="00873B1A" w:rsidRPr="005973D9">
        <w:rPr>
          <w:rFonts w:cs="Arial"/>
        </w:rPr>
        <w:t>The forecast will be impacted by the final pay award that is agreed for 202</w:t>
      </w:r>
      <w:r w:rsidR="005973D9" w:rsidRPr="005973D9">
        <w:rPr>
          <w:rFonts w:cs="Arial"/>
        </w:rPr>
        <w:t>2</w:t>
      </w:r>
      <w:r w:rsidR="00873B1A" w:rsidRPr="005973D9">
        <w:rPr>
          <w:rFonts w:cs="Arial"/>
        </w:rPr>
        <w:t>/2</w:t>
      </w:r>
      <w:r w:rsidR="005973D9" w:rsidRPr="005973D9">
        <w:rPr>
          <w:rFonts w:cs="Arial"/>
        </w:rPr>
        <w:t>3</w:t>
      </w:r>
      <w:r w:rsidR="00873B1A" w:rsidRPr="005973D9">
        <w:rPr>
          <w:rFonts w:cs="Arial"/>
        </w:rPr>
        <w:t xml:space="preserve">, but at this stage this has not been finalised. </w:t>
      </w:r>
    </w:p>
    <w:p w14:paraId="09F0903B" w14:textId="77777777" w:rsidR="0046463C" w:rsidRPr="003A755A" w:rsidRDefault="0046463C" w:rsidP="0046463C">
      <w:pPr>
        <w:spacing w:after="0"/>
        <w:rPr>
          <w:rFonts w:eastAsiaTheme="minorHAnsi" w:cs="Arial"/>
          <w:color w:val="auto"/>
          <w:highlight w:val="yellow"/>
        </w:rPr>
      </w:pPr>
    </w:p>
    <w:p w14:paraId="6CD9D789" w14:textId="01D5F657" w:rsidR="0046463C" w:rsidRPr="00D40ACF" w:rsidRDefault="00A854D0" w:rsidP="0046463C">
      <w:pPr>
        <w:spacing w:after="0"/>
        <w:rPr>
          <w:rFonts w:cs="Arial"/>
        </w:rPr>
      </w:pPr>
      <w:r w:rsidRPr="00D40ACF">
        <w:rPr>
          <w:rFonts w:cs="Arial"/>
        </w:rPr>
        <w:t xml:space="preserve">The table below presents the amounts built into the </w:t>
      </w:r>
      <w:r w:rsidR="00D3187C">
        <w:rPr>
          <w:rFonts w:cs="Arial"/>
        </w:rPr>
        <w:t>medium term financial strategy</w:t>
      </w:r>
      <w:r w:rsidR="00D3187C" w:rsidRPr="00D40ACF">
        <w:rPr>
          <w:rFonts w:cs="Arial"/>
        </w:rPr>
        <w:t xml:space="preserve"> </w:t>
      </w:r>
      <w:r w:rsidRPr="00D40ACF">
        <w:rPr>
          <w:rFonts w:cs="Arial"/>
        </w:rPr>
        <w:t>for pay and pensions:</w:t>
      </w:r>
    </w:p>
    <w:p w14:paraId="7C2E9422" w14:textId="77777777" w:rsidR="0046463C" w:rsidRPr="00D40ACF" w:rsidRDefault="0046463C">
      <w:pPr>
        <w:spacing w:after="0"/>
        <w:rPr>
          <w:rFonts w:cs="Arial"/>
          <w:b/>
          <w:i/>
          <w:u w:val="single"/>
        </w:rPr>
      </w:pPr>
    </w:p>
    <w:p w14:paraId="21F5D5D0" w14:textId="77777777" w:rsidR="0046463C" w:rsidRPr="00D40ACF" w:rsidRDefault="00A854D0" w:rsidP="0046463C">
      <w:pPr>
        <w:spacing w:after="0"/>
        <w:rPr>
          <w:rFonts w:cs="Arial"/>
          <w:b/>
          <w:i/>
          <w:u w:val="single"/>
        </w:rPr>
      </w:pPr>
      <w:r w:rsidRPr="00D40ACF">
        <w:rPr>
          <w:rFonts w:cs="Arial"/>
          <w:b/>
          <w:i/>
          <w:u w:val="single"/>
        </w:rPr>
        <w:t>Table 4</w:t>
      </w:r>
    </w:p>
    <w:p w14:paraId="6F1850F8" w14:textId="77777777" w:rsidR="0046463C" w:rsidRPr="003A755A" w:rsidRDefault="0046463C" w:rsidP="0046463C">
      <w:pPr>
        <w:spacing w:after="0"/>
        <w:rPr>
          <w:rFonts w:cs="Arial"/>
          <w:b/>
          <w:highlight w:val="yellow"/>
        </w:rPr>
      </w:pPr>
    </w:p>
    <w:tbl>
      <w:tblPr>
        <w:tblW w:w="91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5"/>
        <w:gridCol w:w="1300"/>
        <w:gridCol w:w="1300"/>
        <w:gridCol w:w="1300"/>
        <w:gridCol w:w="1300"/>
        <w:gridCol w:w="1301"/>
      </w:tblGrid>
      <w:tr w:rsidR="006C72FB" w14:paraId="1EBD0C22" w14:textId="77777777" w:rsidTr="7DE01747">
        <w:trPr>
          <w:trHeight w:val="302"/>
        </w:trPr>
        <w:tc>
          <w:tcPr>
            <w:tcW w:w="2685" w:type="dxa"/>
            <w:vMerge w:val="restart"/>
            <w:shd w:val="clear" w:color="auto" w:fill="BFBFBF" w:themeFill="background1" w:themeFillShade="BF"/>
            <w:vAlign w:val="center"/>
            <w:hideMark/>
          </w:tcPr>
          <w:p w14:paraId="12E73415" w14:textId="77777777" w:rsidR="00752EE4" w:rsidRPr="003A755A" w:rsidRDefault="00A854D0" w:rsidP="00752EE4">
            <w:pPr>
              <w:autoSpaceDE/>
              <w:autoSpaceDN/>
              <w:adjustRightInd/>
              <w:spacing w:after="0"/>
              <w:rPr>
                <w:rFonts w:eastAsia="Times New Roman" w:cs="Arial"/>
                <w:highlight w:val="yellow"/>
                <w:lang w:eastAsia="en-GB"/>
              </w:rPr>
            </w:pPr>
            <w:r w:rsidRPr="00752EE4">
              <w:rPr>
                <w:rFonts w:eastAsia="Times New Roman" w:cs="Arial"/>
                <w:lang w:eastAsia="en-GB"/>
              </w:rPr>
              <w:t> </w:t>
            </w:r>
          </w:p>
        </w:tc>
        <w:tc>
          <w:tcPr>
            <w:tcW w:w="1300" w:type="dxa"/>
            <w:tcBorders>
              <w:bottom w:val="nil"/>
            </w:tcBorders>
            <w:shd w:val="clear" w:color="auto" w:fill="BFBFBF" w:themeFill="background1" w:themeFillShade="BF"/>
            <w:vAlign w:val="center"/>
            <w:hideMark/>
          </w:tcPr>
          <w:p w14:paraId="4AC5B204" w14:textId="5DA12A88" w:rsidR="00752EE4" w:rsidRPr="00752EE4" w:rsidRDefault="00A854D0" w:rsidP="00752EE4">
            <w:pPr>
              <w:autoSpaceDE/>
              <w:autoSpaceDN/>
              <w:adjustRightInd/>
              <w:spacing w:after="0"/>
              <w:jc w:val="center"/>
              <w:rPr>
                <w:rFonts w:eastAsia="Times New Roman" w:cs="Arial"/>
                <w:b/>
                <w:bCs/>
                <w:lang w:eastAsia="en-GB"/>
              </w:rPr>
            </w:pPr>
            <w:r w:rsidRPr="00752EE4">
              <w:rPr>
                <w:rFonts w:eastAsia="Times New Roman" w:cs="Arial"/>
                <w:b/>
                <w:bCs/>
                <w:lang w:eastAsia="en-GB"/>
              </w:rPr>
              <w:t>2023/24</w:t>
            </w:r>
          </w:p>
        </w:tc>
        <w:tc>
          <w:tcPr>
            <w:tcW w:w="1300" w:type="dxa"/>
            <w:tcBorders>
              <w:bottom w:val="nil"/>
            </w:tcBorders>
            <w:shd w:val="clear" w:color="auto" w:fill="BFBFBF" w:themeFill="background1" w:themeFillShade="BF"/>
            <w:vAlign w:val="center"/>
            <w:hideMark/>
          </w:tcPr>
          <w:p w14:paraId="1D4B19A0" w14:textId="45FD7B56" w:rsidR="00752EE4" w:rsidRPr="00752EE4" w:rsidRDefault="00A854D0" w:rsidP="00752EE4">
            <w:pPr>
              <w:autoSpaceDE/>
              <w:autoSpaceDN/>
              <w:adjustRightInd/>
              <w:spacing w:after="0"/>
              <w:jc w:val="center"/>
              <w:rPr>
                <w:rFonts w:eastAsia="Times New Roman" w:cs="Arial"/>
                <w:b/>
                <w:bCs/>
                <w:lang w:eastAsia="en-GB"/>
              </w:rPr>
            </w:pPr>
            <w:r w:rsidRPr="00752EE4">
              <w:rPr>
                <w:rFonts w:eastAsia="Times New Roman" w:cs="Arial"/>
                <w:b/>
                <w:bCs/>
                <w:lang w:eastAsia="en-GB"/>
              </w:rPr>
              <w:t>2024/25</w:t>
            </w:r>
          </w:p>
        </w:tc>
        <w:tc>
          <w:tcPr>
            <w:tcW w:w="1300" w:type="dxa"/>
            <w:tcBorders>
              <w:bottom w:val="nil"/>
            </w:tcBorders>
            <w:shd w:val="clear" w:color="auto" w:fill="BFBFBF" w:themeFill="background1" w:themeFillShade="BF"/>
            <w:vAlign w:val="center"/>
            <w:hideMark/>
          </w:tcPr>
          <w:p w14:paraId="6522BE41" w14:textId="74D971A4" w:rsidR="00752EE4" w:rsidRPr="00752EE4" w:rsidRDefault="00A854D0" w:rsidP="00752EE4">
            <w:pPr>
              <w:autoSpaceDE/>
              <w:autoSpaceDN/>
              <w:adjustRightInd/>
              <w:spacing w:after="0"/>
              <w:jc w:val="center"/>
              <w:rPr>
                <w:rFonts w:eastAsia="Times New Roman" w:cs="Arial"/>
                <w:b/>
                <w:bCs/>
                <w:lang w:eastAsia="en-GB"/>
              </w:rPr>
            </w:pPr>
            <w:r w:rsidRPr="00752EE4">
              <w:rPr>
                <w:rFonts w:eastAsia="Times New Roman" w:cs="Arial"/>
                <w:b/>
                <w:bCs/>
                <w:lang w:eastAsia="en-GB"/>
              </w:rPr>
              <w:t>2025/26</w:t>
            </w:r>
          </w:p>
        </w:tc>
        <w:tc>
          <w:tcPr>
            <w:tcW w:w="1300" w:type="dxa"/>
            <w:tcBorders>
              <w:bottom w:val="nil"/>
            </w:tcBorders>
            <w:shd w:val="clear" w:color="auto" w:fill="BFBFBF" w:themeFill="background1" w:themeFillShade="BF"/>
          </w:tcPr>
          <w:p w14:paraId="77C07B4F" w14:textId="2F69323D" w:rsidR="00752EE4" w:rsidRPr="00752EE4" w:rsidRDefault="00A854D0" w:rsidP="00752EE4">
            <w:pPr>
              <w:autoSpaceDE/>
              <w:autoSpaceDN/>
              <w:adjustRightInd/>
              <w:spacing w:after="0"/>
              <w:jc w:val="center"/>
              <w:rPr>
                <w:rFonts w:eastAsia="Times New Roman" w:cs="Arial"/>
                <w:b/>
                <w:bCs/>
                <w:lang w:eastAsia="en-GB"/>
              </w:rPr>
            </w:pPr>
            <w:r w:rsidRPr="00752EE4">
              <w:rPr>
                <w:rFonts w:eastAsia="Times New Roman" w:cs="Arial"/>
                <w:b/>
                <w:bCs/>
                <w:lang w:eastAsia="en-GB"/>
              </w:rPr>
              <w:t>2026/27</w:t>
            </w:r>
          </w:p>
        </w:tc>
        <w:tc>
          <w:tcPr>
            <w:tcW w:w="1301" w:type="dxa"/>
            <w:tcBorders>
              <w:bottom w:val="nil"/>
            </w:tcBorders>
            <w:shd w:val="clear" w:color="auto" w:fill="BFBFBF" w:themeFill="background1" w:themeFillShade="BF"/>
            <w:vAlign w:val="center"/>
            <w:hideMark/>
          </w:tcPr>
          <w:p w14:paraId="00E9A71F" w14:textId="771C4B8A" w:rsidR="00752EE4" w:rsidRPr="00752EE4" w:rsidRDefault="00A854D0" w:rsidP="00752EE4">
            <w:pPr>
              <w:autoSpaceDE/>
              <w:autoSpaceDN/>
              <w:adjustRightInd/>
              <w:spacing w:after="0"/>
              <w:jc w:val="center"/>
              <w:rPr>
                <w:rFonts w:eastAsia="Times New Roman" w:cs="Arial"/>
                <w:b/>
                <w:bCs/>
                <w:lang w:eastAsia="en-GB"/>
              </w:rPr>
            </w:pPr>
            <w:r w:rsidRPr="00752EE4">
              <w:rPr>
                <w:rFonts w:eastAsia="Times New Roman" w:cs="Arial"/>
                <w:b/>
                <w:bCs/>
                <w:lang w:eastAsia="en-GB"/>
              </w:rPr>
              <w:t>Total</w:t>
            </w:r>
          </w:p>
        </w:tc>
      </w:tr>
      <w:tr w:rsidR="006C72FB" w14:paraId="60B1321D" w14:textId="77777777" w:rsidTr="7DE01747">
        <w:trPr>
          <w:trHeight w:val="312"/>
        </w:trPr>
        <w:tc>
          <w:tcPr>
            <w:tcW w:w="2685" w:type="dxa"/>
            <w:vMerge/>
            <w:vAlign w:val="center"/>
            <w:hideMark/>
          </w:tcPr>
          <w:p w14:paraId="55872CD9" w14:textId="77777777" w:rsidR="00752EE4" w:rsidRPr="003A755A" w:rsidRDefault="00752EE4" w:rsidP="0046463C">
            <w:pPr>
              <w:autoSpaceDE/>
              <w:autoSpaceDN/>
              <w:adjustRightInd/>
              <w:spacing w:after="0"/>
              <w:jc w:val="left"/>
              <w:rPr>
                <w:rFonts w:eastAsia="Times New Roman" w:cs="Arial"/>
                <w:highlight w:val="yellow"/>
                <w:lang w:eastAsia="en-GB"/>
              </w:rPr>
            </w:pPr>
          </w:p>
        </w:tc>
        <w:tc>
          <w:tcPr>
            <w:tcW w:w="1300" w:type="dxa"/>
            <w:tcBorders>
              <w:top w:val="nil"/>
            </w:tcBorders>
            <w:shd w:val="clear" w:color="auto" w:fill="BFBFBF" w:themeFill="background1" w:themeFillShade="BF"/>
            <w:vAlign w:val="center"/>
            <w:hideMark/>
          </w:tcPr>
          <w:p w14:paraId="3DD06486" w14:textId="77777777" w:rsidR="00752EE4" w:rsidRPr="00752EE4" w:rsidRDefault="00A854D0" w:rsidP="0046463C">
            <w:pPr>
              <w:autoSpaceDE/>
              <w:autoSpaceDN/>
              <w:adjustRightInd/>
              <w:spacing w:after="0"/>
              <w:jc w:val="center"/>
              <w:rPr>
                <w:rFonts w:eastAsia="Times New Roman" w:cs="Arial"/>
                <w:b/>
                <w:bCs/>
                <w:lang w:eastAsia="en-GB"/>
              </w:rPr>
            </w:pPr>
            <w:r w:rsidRPr="00752EE4">
              <w:rPr>
                <w:rFonts w:eastAsia="Times New Roman" w:cs="Arial"/>
                <w:b/>
                <w:bCs/>
                <w:lang w:eastAsia="en-GB"/>
              </w:rPr>
              <w:t>£m</w:t>
            </w:r>
          </w:p>
        </w:tc>
        <w:tc>
          <w:tcPr>
            <w:tcW w:w="1300" w:type="dxa"/>
            <w:tcBorders>
              <w:top w:val="nil"/>
            </w:tcBorders>
            <w:shd w:val="clear" w:color="auto" w:fill="BFBFBF" w:themeFill="background1" w:themeFillShade="BF"/>
            <w:vAlign w:val="center"/>
            <w:hideMark/>
          </w:tcPr>
          <w:p w14:paraId="7EAD492F" w14:textId="77777777" w:rsidR="00752EE4" w:rsidRPr="00752EE4" w:rsidRDefault="00A854D0" w:rsidP="0046463C">
            <w:pPr>
              <w:autoSpaceDE/>
              <w:autoSpaceDN/>
              <w:adjustRightInd/>
              <w:spacing w:after="0"/>
              <w:jc w:val="center"/>
              <w:rPr>
                <w:rFonts w:eastAsia="Times New Roman" w:cs="Arial"/>
                <w:b/>
                <w:bCs/>
                <w:lang w:eastAsia="en-GB"/>
              </w:rPr>
            </w:pPr>
            <w:r w:rsidRPr="00752EE4">
              <w:rPr>
                <w:rFonts w:eastAsia="Times New Roman" w:cs="Arial"/>
                <w:b/>
                <w:bCs/>
                <w:lang w:eastAsia="en-GB"/>
              </w:rPr>
              <w:t>£m</w:t>
            </w:r>
          </w:p>
        </w:tc>
        <w:tc>
          <w:tcPr>
            <w:tcW w:w="1300" w:type="dxa"/>
            <w:tcBorders>
              <w:top w:val="nil"/>
            </w:tcBorders>
            <w:shd w:val="clear" w:color="auto" w:fill="BFBFBF" w:themeFill="background1" w:themeFillShade="BF"/>
            <w:vAlign w:val="center"/>
            <w:hideMark/>
          </w:tcPr>
          <w:p w14:paraId="58DD8E7A" w14:textId="77777777" w:rsidR="00752EE4" w:rsidRPr="00752EE4" w:rsidRDefault="00A854D0" w:rsidP="0046463C">
            <w:pPr>
              <w:autoSpaceDE/>
              <w:autoSpaceDN/>
              <w:adjustRightInd/>
              <w:spacing w:after="0"/>
              <w:jc w:val="center"/>
              <w:rPr>
                <w:rFonts w:eastAsia="Times New Roman" w:cs="Arial"/>
                <w:b/>
                <w:bCs/>
                <w:lang w:eastAsia="en-GB"/>
              </w:rPr>
            </w:pPr>
            <w:r w:rsidRPr="00752EE4">
              <w:rPr>
                <w:rFonts w:eastAsia="Times New Roman" w:cs="Arial"/>
                <w:b/>
                <w:bCs/>
                <w:lang w:eastAsia="en-GB"/>
              </w:rPr>
              <w:t>£m</w:t>
            </w:r>
          </w:p>
        </w:tc>
        <w:tc>
          <w:tcPr>
            <w:tcW w:w="1300" w:type="dxa"/>
            <w:tcBorders>
              <w:top w:val="nil"/>
            </w:tcBorders>
            <w:shd w:val="clear" w:color="auto" w:fill="BFBFBF" w:themeFill="background1" w:themeFillShade="BF"/>
          </w:tcPr>
          <w:p w14:paraId="59A8E51A" w14:textId="1AEFFEDF" w:rsidR="00752EE4" w:rsidRPr="00752EE4" w:rsidRDefault="00A854D0" w:rsidP="0046463C">
            <w:pPr>
              <w:autoSpaceDE/>
              <w:autoSpaceDN/>
              <w:adjustRightInd/>
              <w:spacing w:after="0"/>
              <w:jc w:val="center"/>
              <w:rPr>
                <w:rFonts w:eastAsia="Times New Roman" w:cs="Arial"/>
                <w:b/>
                <w:bCs/>
                <w:lang w:eastAsia="en-GB"/>
              </w:rPr>
            </w:pPr>
            <w:r w:rsidRPr="00752EE4">
              <w:rPr>
                <w:rFonts w:eastAsia="Times New Roman" w:cs="Arial"/>
                <w:b/>
                <w:bCs/>
                <w:lang w:eastAsia="en-GB"/>
              </w:rPr>
              <w:t>£m</w:t>
            </w:r>
          </w:p>
        </w:tc>
        <w:tc>
          <w:tcPr>
            <w:tcW w:w="1301" w:type="dxa"/>
            <w:tcBorders>
              <w:top w:val="nil"/>
            </w:tcBorders>
            <w:shd w:val="clear" w:color="auto" w:fill="BFBFBF" w:themeFill="background1" w:themeFillShade="BF"/>
            <w:vAlign w:val="center"/>
            <w:hideMark/>
          </w:tcPr>
          <w:p w14:paraId="46AFC8A5" w14:textId="4348E2D1" w:rsidR="00752EE4" w:rsidRPr="00752EE4" w:rsidRDefault="00A854D0" w:rsidP="0046463C">
            <w:pPr>
              <w:autoSpaceDE/>
              <w:autoSpaceDN/>
              <w:adjustRightInd/>
              <w:spacing w:after="0"/>
              <w:jc w:val="center"/>
              <w:rPr>
                <w:rFonts w:eastAsia="Times New Roman" w:cs="Arial"/>
                <w:b/>
                <w:bCs/>
                <w:lang w:eastAsia="en-GB"/>
              </w:rPr>
            </w:pPr>
            <w:r w:rsidRPr="00752EE4">
              <w:rPr>
                <w:rFonts w:eastAsia="Times New Roman" w:cs="Arial"/>
                <w:b/>
                <w:bCs/>
                <w:lang w:eastAsia="en-GB"/>
              </w:rPr>
              <w:t>£m</w:t>
            </w:r>
          </w:p>
        </w:tc>
      </w:tr>
      <w:tr w:rsidR="006C72FB" w14:paraId="07278ADB" w14:textId="77777777" w:rsidTr="7DE01747">
        <w:trPr>
          <w:trHeight w:val="566"/>
        </w:trPr>
        <w:tc>
          <w:tcPr>
            <w:tcW w:w="2685" w:type="dxa"/>
            <w:shd w:val="clear" w:color="auto" w:fill="auto"/>
            <w:vAlign w:val="center"/>
            <w:hideMark/>
          </w:tcPr>
          <w:p w14:paraId="08DC6A04" w14:textId="77777777" w:rsidR="00C64AA0" w:rsidRPr="00752EE4" w:rsidRDefault="00A854D0" w:rsidP="00C64AA0">
            <w:pPr>
              <w:autoSpaceDE/>
              <w:autoSpaceDN/>
              <w:adjustRightInd/>
              <w:spacing w:after="0"/>
              <w:jc w:val="left"/>
              <w:rPr>
                <w:rFonts w:eastAsia="Times New Roman" w:cs="Arial"/>
                <w:lang w:eastAsia="en-GB"/>
              </w:rPr>
            </w:pPr>
            <w:r w:rsidRPr="00752EE4">
              <w:rPr>
                <w:rFonts w:eastAsia="Times New Roman" w:cs="Arial"/>
                <w:lang w:eastAsia="en-GB"/>
              </w:rPr>
              <w:t>Employee costs</w:t>
            </w:r>
          </w:p>
        </w:tc>
        <w:tc>
          <w:tcPr>
            <w:tcW w:w="1300" w:type="dxa"/>
            <w:shd w:val="clear" w:color="auto" w:fill="auto"/>
            <w:vAlign w:val="center"/>
          </w:tcPr>
          <w:p w14:paraId="0ADBC903" w14:textId="70EE6814" w:rsidR="00C64AA0" w:rsidRPr="00C64AA0" w:rsidRDefault="00A854D0" w:rsidP="00C64AA0">
            <w:pPr>
              <w:autoSpaceDE/>
              <w:autoSpaceDN/>
              <w:adjustRightInd/>
              <w:spacing w:after="0"/>
              <w:jc w:val="right"/>
              <w:rPr>
                <w:rFonts w:eastAsia="Times New Roman" w:cs="Arial"/>
                <w:highlight w:val="yellow"/>
                <w:lang w:eastAsia="en-GB"/>
              </w:rPr>
            </w:pPr>
            <w:r w:rsidRPr="00C64AA0">
              <w:rPr>
                <w:rFonts w:cs="Arial"/>
              </w:rPr>
              <w:t>30.107</w:t>
            </w:r>
          </w:p>
        </w:tc>
        <w:tc>
          <w:tcPr>
            <w:tcW w:w="1300" w:type="dxa"/>
            <w:shd w:val="clear" w:color="auto" w:fill="auto"/>
            <w:vAlign w:val="center"/>
          </w:tcPr>
          <w:p w14:paraId="2CBB3C5A" w14:textId="051BCB5E" w:rsidR="00C64AA0" w:rsidRPr="00C64AA0" w:rsidRDefault="00A854D0" w:rsidP="00C64AA0">
            <w:pPr>
              <w:autoSpaceDE/>
              <w:autoSpaceDN/>
              <w:adjustRightInd/>
              <w:spacing w:after="0"/>
              <w:jc w:val="right"/>
              <w:rPr>
                <w:rFonts w:eastAsia="Times New Roman" w:cs="Arial"/>
                <w:highlight w:val="yellow"/>
                <w:lang w:eastAsia="en-GB"/>
              </w:rPr>
            </w:pPr>
            <w:r w:rsidRPr="00C64AA0">
              <w:rPr>
                <w:rFonts w:cs="Arial"/>
              </w:rPr>
              <w:t>10.658</w:t>
            </w:r>
          </w:p>
        </w:tc>
        <w:tc>
          <w:tcPr>
            <w:tcW w:w="1300" w:type="dxa"/>
            <w:shd w:val="clear" w:color="auto" w:fill="auto"/>
            <w:vAlign w:val="center"/>
          </w:tcPr>
          <w:p w14:paraId="26070E61" w14:textId="1655919E" w:rsidR="00C64AA0" w:rsidRPr="00C64AA0" w:rsidRDefault="00A854D0" w:rsidP="00C64AA0">
            <w:pPr>
              <w:autoSpaceDE/>
              <w:autoSpaceDN/>
              <w:adjustRightInd/>
              <w:spacing w:after="0"/>
              <w:jc w:val="right"/>
              <w:rPr>
                <w:rFonts w:eastAsia="Times New Roman" w:cs="Arial"/>
                <w:highlight w:val="yellow"/>
                <w:lang w:eastAsia="en-GB"/>
              </w:rPr>
            </w:pPr>
            <w:r w:rsidRPr="00C64AA0">
              <w:rPr>
                <w:rFonts w:cs="Arial"/>
              </w:rPr>
              <w:t>10.842</w:t>
            </w:r>
          </w:p>
        </w:tc>
        <w:tc>
          <w:tcPr>
            <w:tcW w:w="1300" w:type="dxa"/>
            <w:vAlign w:val="center"/>
          </w:tcPr>
          <w:p w14:paraId="7B183ED0" w14:textId="6BC02446" w:rsidR="00C64AA0" w:rsidRPr="00C64AA0" w:rsidRDefault="00A854D0" w:rsidP="00C64AA0">
            <w:pPr>
              <w:autoSpaceDE/>
              <w:autoSpaceDN/>
              <w:adjustRightInd/>
              <w:spacing w:after="0"/>
              <w:jc w:val="right"/>
              <w:rPr>
                <w:rFonts w:eastAsia="Times New Roman" w:cs="Arial"/>
                <w:b/>
                <w:bCs/>
                <w:highlight w:val="yellow"/>
                <w:lang w:eastAsia="en-GB"/>
              </w:rPr>
            </w:pPr>
            <w:r w:rsidRPr="00C64AA0">
              <w:rPr>
                <w:rFonts w:cs="Arial"/>
              </w:rPr>
              <w:t>10.822</w:t>
            </w:r>
          </w:p>
        </w:tc>
        <w:tc>
          <w:tcPr>
            <w:tcW w:w="1301" w:type="dxa"/>
            <w:shd w:val="clear" w:color="auto" w:fill="auto"/>
            <w:vAlign w:val="center"/>
          </w:tcPr>
          <w:p w14:paraId="77BF763A" w14:textId="4C78C83A" w:rsidR="00C64AA0" w:rsidRPr="003A755A" w:rsidRDefault="00A854D0" w:rsidP="00C64AA0">
            <w:pPr>
              <w:autoSpaceDE/>
              <w:autoSpaceDN/>
              <w:adjustRightInd/>
              <w:spacing w:after="0"/>
              <w:jc w:val="right"/>
              <w:rPr>
                <w:rFonts w:eastAsia="Times New Roman" w:cs="Arial"/>
                <w:b/>
                <w:bCs/>
                <w:highlight w:val="yellow"/>
                <w:lang w:eastAsia="en-GB"/>
              </w:rPr>
            </w:pPr>
            <w:r w:rsidRPr="00CE3B9D">
              <w:rPr>
                <w:rFonts w:eastAsia="Times New Roman" w:cs="Arial"/>
                <w:b/>
                <w:bCs/>
                <w:lang w:eastAsia="en-GB"/>
              </w:rPr>
              <w:t>62.429</w:t>
            </w:r>
          </w:p>
        </w:tc>
      </w:tr>
      <w:tr w:rsidR="006C72FB" w14:paraId="0EB905F3" w14:textId="77777777" w:rsidTr="7DE01747">
        <w:trPr>
          <w:trHeight w:val="566"/>
        </w:trPr>
        <w:tc>
          <w:tcPr>
            <w:tcW w:w="2685" w:type="dxa"/>
            <w:shd w:val="clear" w:color="auto" w:fill="auto"/>
            <w:vAlign w:val="center"/>
          </w:tcPr>
          <w:p w14:paraId="15024875" w14:textId="641BD420" w:rsidR="00E4351C" w:rsidRPr="00752EE4" w:rsidRDefault="00A854D0" w:rsidP="00C64AA0">
            <w:pPr>
              <w:autoSpaceDE/>
              <w:autoSpaceDN/>
              <w:adjustRightInd/>
              <w:spacing w:after="0"/>
              <w:jc w:val="left"/>
              <w:rPr>
                <w:rFonts w:eastAsia="Times New Roman" w:cs="Arial"/>
                <w:lang w:eastAsia="en-GB"/>
              </w:rPr>
            </w:pPr>
            <w:r>
              <w:rPr>
                <w:rFonts w:eastAsia="Times New Roman" w:cs="Arial"/>
                <w:lang w:eastAsia="en-GB"/>
              </w:rPr>
              <w:t>Pay Income (Inflation)</w:t>
            </w:r>
          </w:p>
        </w:tc>
        <w:tc>
          <w:tcPr>
            <w:tcW w:w="1300" w:type="dxa"/>
            <w:shd w:val="clear" w:color="auto" w:fill="auto"/>
            <w:vAlign w:val="center"/>
          </w:tcPr>
          <w:p w14:paraId="13A27F8E" w14:textId="327E0CF7" w:rsidR="00E4351C" w:rsidRPr="00C64AA0" w:rsidRDefault="00A854D0" w:rsidP="00C64AA0">
            <w:pPr>
              <w:autoSpaceDE/>
              <w:autoSpaceDN/>
              <w:adjustRightInd/>
              <w:spacing w:after="0"/>
              <w:jc w:val="right"/>
              <w:rPr>
                <w:rFonts w:cs="Arial"/>
              </w:rPr>
            </w:pPr>
            <w:r>
              <w:rPr>
                <w:rFonts w:cs="Arial"/>
              </w:rPr>
              <w:t>-3.809</w:t>
            </w:r>
          </w:p>
        </w:tc>
        <w:tc>
          <w:tcPr>
            <w:tcW w:w="1300" w:type="dxa"/>
            <w:shd w:val="clear" w:color="auto" w:fill="auto"/>
            <w:vAlign w:val="center"/>
          </w:tcPr>
          <w:p w14:paraId="5C043643" w14:textId="31C50AE7" w:rsidR="00E4351C" w:rsidRPr="00C64AA0" w:rsidRDefault="00A854D0" w:rsidP="00C64AA0">
            <w:pPr>
              <w:autoSpaceDE/>
              <w:autoSpaceDN/>
              <w:adjustRightInd/>
              <w:spacing w:after="0"/>
              <w:jc w:val="right"/>
              <w:rPr>
                <w:rFonts w:cs="Arial"/>
              </w:rPr>
            </w:pPr>
            <w:r>
              <w:rPr>
                <w:rFonts w:cs="Arial"/>
              </w:rPr>
              <w:t>-1.599</w:t>
            </w:r>
          </w:p>
        </w:tc>
        <w:tc>
          <w:tcPr>
            <w:tcW w:w="1300" w:type="dxa"/>
            <w:shd w:val="clear" w:color="auto" w:fill="auto"/>
            <w:vAlign w:val="center"/>
          </w:tcPr>
          <w:p w14:paraId="28A293B7" w14:textId="3DFF4F6B" w:rsidR="00E4351C" w:rsidRPr="00C64AA0" w:rsidRDefault="00A854D0" w:rsidP="00C64AA0">
            <w:pPr>
              <w:autoSpaceDE/>
              <w:autoSpaceDN/>
              <w:adjustRightInd/>
              <w:spacing w:after="0"/>
              <w:jc w:val="right"/>
              <w:rPr>
                <w:rFonts w:cs="Arial"/>
              </w:rPr>
            </w:pPr>
            <w:r>
              <w:rPr>
                <w:rFonts w:cs="Arial"/>
              </w:rPr>
              <w:t>-1.592</w:t>
            </w:r>
          </w:p>
        </w:tc>
        <w:tc>
          <w:tcPr>
            <w:tcW w:w="1300" w:type="dxa"/>
            <w:vAlign w:val="center"/>
          </w:tcPr>
          <w:p w14:paraId="00099220" w14:textId="5E40317E" w:rsidR="00E4351C" w:rsidRPr="00C64AA0" w:rsidRDefault="00A854D0" w:rsidP="00C64AA0">
            <w:pPr>
              <w:autoSpaceDE/>
              <w:autoSpaceDN/>
              <w:adjustRightInd/>
              <w:spacing w:after="0"/>
              <w:jc w:val="right"/>
              <w:rPr>
                <w:rFonts w:cs="Arial"/>
              </w:rPr>
            </w:pPr>
            <w:r>
              <w:rPr>
                <w:rFonts w:cs="Arial"/>
              </w:rPr>
              <w:t>-1.601</w:t>
            </w:r>
          </w:p>
        </w:tc>
        <w:tc>
          <w:tcPr>
            <w:tcW w:w="1301" w:type="dxa"/>
            <w:shd w:val="clear" w:color="auto" w:fill="auto"/>
            <w:vAlign w:val="center"/>
          </w:tcPr>
          <w:p w14:paraId="0A378369" w14:textId="78AA973D" w:rsidR="00E4351C" w:rsidRPr="00CE3B9D" w:rsidRDefault="00A854D0" w:rsidP="00C64AA0">
            <w:pPr>
              <w:autoSpaceDE/>
              <w:autoSpaceDN/>
              <w:adjustRightInd/>
              <w:spacing w:after="0"/>
              <w:jc w:val="right"/>
              <w:rPr>
                <w:rFonts w:eastAsia="Times New Roman" w:cs="Arial"/>
                <w:b/>
                <w:bCs/>
                <w:lang w:eastAsia="en-GB"/>
              </w:rPr>
            </w:pPr>
            <w:r>
              <w:rPr>
                <w:rFonts w:eastAsia="Times New Roman" w:cs="Arial"/>
                <w:b/>
                <w:bCs/>
                <w:lang w:eastAsia="en-GB"/>
              </w:rPr>
              <w:t>-8.602</w:t>
            </w:r>
          </w:p>
        </w:tc>
      </w:tr>
      <w:tr w:rsidR="006C72FB" w14:paraId="32358EAB" w14:textId="77777777" w:rsidTr="7DE01747">
        <w:trPr>
          <w:trHeight w:val="566"/>
        </w:trPr>
        <w:tc>
          <w:tcPr>
            <w:tcW w:w="2685" w:type="dxa"/>
            <w:shd w:val="clear" w:color="auto" w:fill="auto"/>
            <w:vAlign w:val="center"/>
            <w:hideMark/>
          </w:tcPr>
          <w:p w14:paraId="082740B9" w14:textId="77777777" w:rsidR="00C64AA0" w:rsidRPr="00752EE4" w:rsidRDefault="00A854D0" w:rsidP="00C64AA0">
            <w:pPr>
              <w:autoSpaceDE/>
              <w:autoSpaceDN/>
              <w:adjustRightInd/>
              <w:spacing w:after="0"/>
              <w:jc w:val="left"/>
              <w:rPr>
                <w:rFonts w:eastAsia="Times New Roman" w:cs="Arial"/>
                <w:lang w:eastAsia="en-GB"/>
              </w:rPr>
            </w:pPr>
            <w:r w:rsidRPr="00752EE4">
              <w:rPr>
                <w:rFonts w:eastAsia="Times New Roman" w:cs="Arial"/>
                <w:lang w:eastAsia="en-GB"/>
              </w:rPr>
              <w:t>Other pay related costs</w:t>
            </w:r>
          </w:p>
        </w:tc>
        <w:tc>
          <w:tcPr>
            <w:tcW w:w="1300" w:type="dxa"/>
            <w:shd w:val="clear" w:color="auto" w:fill="auto"/>
            <w:vAlign w:val="center"/>
          </w:tcPr>
          <w:p w14:paraId="64EAB97E" w14:textId="1D28B223" w:rsidR="00C64AA0" w:rsidRPr="00C64AA0" w:rsidRDefault="00A854D0" w:rsidP="00C64AA0">
            <w:pPr>
              <w:autoSpaceDE/>
              <w:autoSpaceDN/>
              <w:adjustRightInd/>
              <w:spacing w:after="0"/>
              <w:jc w:val="right"/>
              <w:rPr>
                <w:rFonts w:eastAsia="Times New Roman" w:cs="Arial"/>
                <w:highlight w:val="yellow"/>
                <w:lang w:eastAsia="en-GB"/>
              </w:rPr>
            </w:pPr>
            <w:r w:rsidRPr="00C64AA0">
              <w:rPr>
                <w:rFonts w:cs="Arial"/>
              </w:rPr>
              <w:t>-1.193</w:t>
            </w:r>
          </w:p>
        </w:tc>
        <w:tc>
          <w:tcPr>
            <w:tcW w:w="1300" w:type="dxa"/>
            <w:shd w:val="clear" w:color="auto" w:fill="auto"/>
            <w:vAlign w:val="center"/>
          </w:tcPr>
          <w:p w14:paraId="1BDB1122" w14:textId="3D46A51C" w:rsidR="00C64AA0" w:rsidRPr="00C64AA0" w:rsidRDefault="00A854D0" w:rsidP="00C64AA0">
            <w:pPr>
              <w:autoSpaceDE/>
              <w:autoSpaceDN/>
              <w:adjustRightInd/>
              <w:spacing w:after="0"/>
              <w:jc w:val="right"/>
              <w:rPr>
                <w:rFonts w:eastAsia="Times New Roman" w:cs="Arial"/>
                <w:highlight w:val="yellow"/>
                <w:lang w:eastAsia="en-GB"/>
              </w:rPr>
            </w:pPr>
            <w:r w:rsidRPr="00C64AA0">
              <w:rPr>
                <w:rFonts w:cs="Arial"/>
              </w:rPr>
              <w:t>-0.225</w:t>
            </w:r>
          </w:p>
        </w:tc>
        <w:tc>
          <w:tcPr>
            <w:tcW w:w="1300" w:type="dxa"/>
            <w:shd w:val="clear" w:color="auto" w:fill="auto"/>
            <w:vAlign w:val="center"/>
          </w:tcPr>
          <w:p w14:paraId="3E2D1094" w14:textId="5A38E615" w:rsidR="00C64AA0" w:rsidRPr="00C64AA0" w:rsidRDefault="00A854D0" w:rsidP="00C64AA0">
            <w:pPr>
              <w:autoSpaceDE/>
              <w:autoSpaceDN/>
              <w:adjustRightInd/>
              <w:spacing w:after="0"/>
              <w:jc w:val="right"/>
              <w:rPr>
                <w:rFonts w:eastAsia="Times New Roman" w:cs="Arial"/>
                <w:highlight w:val="yellow"/>
                <w:lang w:eastAsia="en-GB"/>
              </w:rPr>
            </w:pPr>
            <w:r w:rsidRPr="00C64AA0">
              <w:rPr>
                <w:rFonts w:cs="Arial"/>
              </w:rPr>
              <w:t>-0.229</w:t>
            </w:r>
          </w:p>
        </w:tc>
        <w:tc>
          <w:tcPr>
            <w:tcW w:w="1300" w:type="dxa"/>
            <w:vAlign w:val="center"/>
          </w:tcPr>
          <w:p w14:paraId="420713A3" w14:textId="53DF9556" w:rsidR="00C64AA0" w:rsidRPr="00C64AA0" w:rsidRDefault="00A854D0" w:rsidP="00C64AA0">
            <w:pPr>
              <w:autoSpaceDE/>
              <w:autoSpaceDN/>
              <w:adjustRightInd/>
              <w:spacing w:after="0"/>
              <w:jc w:val="right"/>
              <w:rPr>
                <w:rFonts w:eastAsia="Times New Roman" w:cs="Arial"/>
                <w:b/>
                <w:bCs/>
                <w:highlight w:val="yellow"/>
                <w:lang w:eastAsia="en-GB"/>
              </w:rPr>
            </w:pPr>
            <w:r w:rsidRPr="00C64AA0">
              <w:rPr>
                <w:rFonts w:cs="Arial"/>
              </w:rPr>
              <w:t>-0.233</w:t>
            </w:r>
          </w:p>
        </w:tc>
        <w:tc>
          <w:tcPr>
            <w:tcW w:w="1301" w:type="dxa"/>
            <w:shd w:val="clear" w:color="auto" w:fill="auto"/>
            <w:vAlign w:val="center"/>
          </w:tcPr>
          <w:p w14:paraId="61E1E5B0" w14:textId="1B23A93E" w:rsidR="00C64AA0" w:rsidRPr="003A755A" w:rsidRDefault="00A854D0" w:rsidP="00C64AA0">
            <w:pPr>
              <w:autoSpaceDE/>
              <w:autoSpaceDN/>
              <w:adjustRightInd/>
              <w:spacing w:after="0"/>
              <w:jc w:val="right"/>
              <w:rPr>
                <w:rFonts w:eastAsia="Times New Roman" w:cs="Arial"/>
                <w:b/>
                <w:bCs/>
                <w:highlight w:val="yellow"/>
                <w:lang w:eastAsia="en-GB"/>
              </w:rPr>
            </w:pPr>
            <w:r>
              <w:rPr>
                <w:rFonts w:eastAsia="Times New Roman" w:cs="Arial"/>
                <w:b/>
                <w:bCs/>
                <w:lang w:eastAsia="en-GB"/>
              </w:rPr>
              <w:t>-1.880</w:t>
            </w:r>
          </w:p>
        </w:tc>
      </w:tr>
      <w:tr w:rsidR="006C72FB" w14:paraId="5302AFAA" w14:textId="77777777" w:rsidTr="7DE01747">
        <w:trPr>
          <w:trHeight w:val="566"/>
        </w:trPr>
        <w:tc>
          <w:tcPr>
            <w:tcW w:w="2685" w:type="dxa"/>
            <w:shd w:val="clear" w:color="auto" w:fill="auto"/>
            <w:vAlign w:val="center"/>
            <w:hideMark/>
          </w:tcPr>
          <w:p w14:paraId="4BAF0804" w14:textId="77777777" w:rsidR="00C64AA0" w:rsidRPr="00752EE4" w:rsidRDefault="00A854D0" w:rsidP="00C64AA0">
            <w:pPr>
              <w:autoSpaceDE/>
              <w:autoSpaceDN/>
              <w:adjustRightInd/>
              <w:spacing w:after="0"/>
              <w:jc w:val="left"/>
              <w:rPr>
                <w:rFonts w:eastAsia="Times New Roman" w:cs="Arial"/>
                <w:b/>
                <w:bCs/>
                <w:lang w:eastAsia="en-GB"/>
              </w:rPr>
            </w:pPr>
            <w:r w:rsidRPr="00752EE4">
              <w:rPr>
                <w:rFonts w:eastAsia="Times New Roman" w:cs="Arial"/>
                <w:b/>
                <w:bCs/>
                <w:lang w:eastAsia="en-GB"/>
              </w:rPr>
              <w:t>Revised pay and pension requirements</w:t>
            </w:r>
          </w:p>
        </w:tc>
        <w:tc>
          <w:tcPr>
            <w:tcW w:w="1300" w:type="dxa"/>
            <w:shd w:val="clear" w:color="auto" w:fill="auto"/>
            <w:vAlign w:val="center"/>
          </w:tcPr>
          <w:p w14:paraId="14D36FC0" w14:textId="6D0161EA" w:rsidR="00C64AA0" w:rsidRPr="00CF218B" w:rsidRDefault="00A854D0" w:rsidP="00C64AA0">
            <w:pPr>
              <w:autoSpaceDE/>
              <w:autoSpaceDN/>
              <w:adjustRightInd/>
              <w:spacing w:after="0"/>
              <w:jc w:val="right"/>
              <w:rPr>
                <w:rFonts w:eastAsia="Times New Roman" w:cs="Arial"/>
                <w:b/>
                <w:bCs/>
                <w:highlight w:val="yellow"/>
                <w:lang w:eastAsia="en-GB"/>
              </w:rPr>
            </w:pPr>
            <w:r>
              <w:rPr>
                <w:rFonts w:cs="Arial"/>
                <w:b/>
                <w:bCs/>
              </w:rPr>
              <w:t>25.104</w:t>
            </w:r>
          </w:p>
        </w:tc>
        <w:tc>
          <w:tcPr>
            <w:tcW w:w="1300" w:type="dxa"/>
            <w:shd w:val="clear" w:color="auto" w:fill="auto"/>
            <w:vAlign w:val="center"/>
          </w:tcPr>
          <w:p w14:paraId="0E72DA9E" w14:textId="6916381B" w:rsidR="00C64AA0" w:rsidRPr="00CF218B" w:rsidRDefault="00A854D0" w:rsidP="00C64AA0">
            <w:pPr>
              <w:autoSpaceDE/>
              <w:autoSpaceDN/>
              <w:adjustRightInd/>
              <w:spacing w:after="0"/>
              <w:jc w:val="right"/>
              <w:rPr>
                <w:rFonts w:eastAsia="Times New Roman" w:cs="Arial"/>
                <w:b/>
                <w:bCs/>
                <w:highlight w:val="yellow"/>
                <w:lang w:eastAsia="en-GB"/>
              </w:rPr>
            </w:pPr>
            <w:r>
              <w:rPr>
                <w:rFonts w:cs="Arial"/>
                <w:b/>
                <w:bCs/>
              </w:rPr>
              <w:t>8.834</w:t>
            </w:r>
          </w:p>
        </w:tc>
        <w:tc>
          <w:tcPr>
            <w:tcW w:w="1300" w:type="dxa"/>
            <w:shd w:val="clear" w:color="auto" w:fill="auto"/>
            <w:vAlign w:val="center"/>
          </w:tcPr>
          <w:p w14:paraId="673985E9" w14:textId="14734571" w:rsidR="00C64AA0" w:rsidRPr="00CF218B" w:rsidRDefault="00A854D0" w:rsidP="00C64AA0">
            <w:pPr>
              <w:autoSpaceDE/>
              <w:autoSpaceDN/>
              <w:adjustRightInd/>
              <w:spacing w:after="0"/>
              <w:jc w:val="right"/>
              <w:rPr>
                <w:rFonts w:eastAsia="Times New Roman" w:cs="Arial"/>
                <w:b/>
                <w:bCs/>
                <w:highlight w:val="yellow"/>
                <w:lang w:eastAsia="en-GB"/>
              </w:rPr>
            </w:pPr>
            <w:r>
              <w:rPr>
                <w:rFonts w:cs="Arial"/>
                <w:b/>
                <w:bCs/>
              </w:rPr>
              <w:t>9.021</w:t>
            </w:r>
          </w:p>
        </w:tc>
        <w:tc>
          <w:tcPr>
            <w:tcW w:w="1300" w:type="dxa"/>
            <w:vAlign w:val="center"/>
          </w:tcPr>
          <w:p w14:paraId="4C062205" w14:textId="253BCD87" w:rsidR="00C64AA0" w:rsidRPr="00CF218B" w:rsidRDefault="00A854D0" w:rsidP="00C64AA0">
            <w:pPr>
              <w:autoSpaceDE/>
              <w:autoSpaceDN/>
              <w:adjustRightInd/>
              <w:spacing w:after="0"/>
              <w:jc w:val="right"/>
              <w:rPr>
                <w:rFonts w:eastAsia="Times New Roman" w:cs="Arial"/>
                <w:b/>
                <w:bCs/>
                <w:highlight w:val="yellow"/>
                <w:lang w:eastAsia="en-GB"/>
              </w:rPr>
            </w:pPr>
            <w:r>
              <w:rPr>
                <w:rFonts w:cs="Arial"/>
                <w:b/>
                <w:bCs/>
              </w:rPr>
              <w:t>8.988</w:t>
            </w:r>
          </w:p>
        </w:tc>
        <w:tc>
          <w:tcPr>
            <w:tcW w:w="1301" w:type="dxa"/>
            <w:shd w:val="clear" w:color="auto" w:fill="auto"/>
            <w:vAlign w:val="center"/>
          </w:tcPr>
          <w:p w14:paraId="24D3236C" w14:textId="024886D8" w:rsidR="00C64AA0" w:rsidRPr="003A755A" w:rsidRDefault="00A854D0" w:rsidP="00C64AA0">
            <w:pPr>
              <w:autoSpaceDE/>
              <w:autoSpaceDN/>
              <w:adjustRightInd/>
              <w:spacing w:after="0"/>
              <w:jc w:val="right"/>
              <w:rPr>
                <w:rFonts w:eastAsia="Times New Roman" w:cs="Arial"/>
                <w:b/>
                <w:bCs/>
                <w:highlight w:val="yellow"/>
                <w:lang w:eastAsia="en-GB"/>
              </w:rPr>
            </w:pPr>
            <w:r>
              <w:rPr>
                <w:rFonts w:eastAsia="Times New Roman" w:cs="Arial"/>
                <w:b/>
                <w:bCs/>
                <w:lang w:eastAsia="en-GB"/>
              </w:rPr>
              <w:t>51.947</w:t>
            </w:r>
          </w:p>
        </w:tc>
      </w:tr>
      <w:tr w:rsidR="006C72FB" w14:paraId="2645D847" w14:textId="77777777" w:rsidTr="7DE01747">
        <w:trPr>
          <w:trHeight w:val="214"/>
        </w:trPr>
        <w:tc>
          <w:tcPr>
            <w:tcW w:w="2685" w:type="dxa"/>
            <w:shd w:val="clear" w:color="auto" w:fill="auto"/>
            <w:vAlign w:val="center"/>
            <w:hideMark/>
          </w:tcPr>
          <w:p w14:paraId="2919E6E6" w14:textId="77777777" w:rsidR="00752EE4" w:rsidRPr="003A755A" w:rsidRDefault="00A854D0" w:rsidP="0046463C">
            <w:pPr>
              <w:autoSpaceDE/>
              <w:autoSpaceDN/>
              <w:adjustRightInd/>
              <w:spacing w:after="0"/>
              <w:jc w:val="left"/>
              <w:rPr>
                <w:rFonts w:eastAsia="Times New Roman" w:cs="Arial"/>
                <w:b/>
                <w:bCs/>
                <w:highlight w:val="yellow"/>
                <w:lang w:eastAsia="en-GB"/>
              </w:rPr>
            </w:pPr>
            <w:r w:rsidRPr="004E5861">
              <w:rPr>
                <w:rFonts w:eastAsia="Times New Roman" w:cs="Arial"/>
                <w:b/>
                <w:bCs/>
                <w:lang w:eastAsia="en-GB"/>
              </w:rPr>
              <w:t> </w:t>
            </w:r>
          </w:p>
        </w:tc>
        <w:tc>
          <w:tcPr>
            <w:tcW w:w="1300" w:type="dxa"/>
            <w:shd w:val="clear" w:color="auto" w:fill="auto"/>
            <w:vAlign w:val="center"/>
          </w:tcPr>
          <w:p w14:paraId="61BBCCBC" w14:textId="23BCA8F0" w:rsidR="00752EE4" w:rsidRPr="003A755A" w:rsidRDefault="00752EE4" w:rsidP="0046463C">
            <w:pPr>
              <w:autoSpaceDE/>
              <w:autoSpaceDN/>
              <w:adjustRightInd/>
              <w:spacing w:after="0"/>
              <w:jc w:val="right"/>
              <w:rPr>
                <w:rFonts w:eastAsia="Times New Roman" w:cs="Arial"/>
                <w:b/>
                <w:bCs/>
                <w:highlight w:val="yellow"/>
                <w:lang w:eastAsia="en-GB"/>
              </w:rPr>
            </w:pPr>
          </w:p>
        </w:tc>
        <w:tc>
          <w:tcPr>
            <w:tcW w:w="1300" w:type="dxa"/>
            <w:shd w:val="clear" w:color="auto" w:fill="auto"/>
            <w:vAlign w:val="center"/>
          </w:tcPr>
          <w:p w14:paraId="7CAA3790" w14:textId="757850B2" w:rsidR="00752EE4" w:rsidRPr="003A755A" w:rsidRDefault="00752EE4" w:rsidP="0046463C">
            <w:pPr>
              <w:autoSpaceDE/>
              <w:autoSpaceDN/>
              <w:adjustRightInd/>
              <w:spacing w:after="0"/>
              <w:jc w:val="right"/>
              <w:rPr>
                <w:rFonts w:eastAsia="Times New Roman" w:cs="Arial"/>
                <w:b/>
                <w:bCs/>
                <w:highlight w:val="yellow"/>
                <w:lang w:eastAsia="en-GB"/>
              </w:rPr>
            </w:pPr>
          </w:p>
        </w:tc>
        <w:tc>
          <w:tcPr>
            <w:tcW w:w="1300" w:type="dxa"/>
            <w:shd w:val="clear" w:color="auto" w:fill="auto"/>
            <w:vAlign w:val="center"/>
          </w:tcPr>
          <w:p w14:paraId="29228567" w14:textId="0917E9FD" w:rsidR="00752EE4" w:rsidRPr="003A755A" w:rsidRDefault="00752EE4" w:rsidP="0046463C">
            <w:pPr>
              <w:autoSpaceDE/>
              <w:autoSpaceDN/>
              <w:adjustRightInd/>
              <w:spacing w:after="0"/>
              <w:jc w:val="right"/>
              <w:rPr>
                <w:rFonts w:eastAsia="Times New Roman" w:cs="Arial"/>
                <w:b/>
                <w:bCs/>
                <w:highlight w:val="yellow"/>
                <w:lang w:eastAsia="en-GB"/>
              </w:rPr>
            </w:pPr>
          </w:p>
        </w:tc>
        <w:tc>
          <w:tcPr>
            <w:tcW w:w="1300" w:type="dxa"/>
          </w:tcPr>
          <w:p w14:paraId="40F3DCB4" w14:textId="77777777" w:rsidR="00752EE4" w:rsidRPr="003A755A" w:rsidRDefault="00752EE4" w:rsidP="0046463C">
            <w:pPr>
              <w:autoSpaceDE/>
              <w:autoSpaceDN/>
              <w:adjustRightInd/>
              <w:spacing w:after="0"/>
              <w:jc w:val="right"/>
              <w:rPr>
                <w:rFonts w:eastAsia="Times New Roman" w:cs="Arial"/>
                <w:b/>
                <w:bCs/>
                <w:highlight w:val="yellow"/>
                <w:lang w:eastAsia="en-GB"/>
              </w:rPr>
            </w:pPr>
          </w:p>
        </w:tc>
        <w:tc>
          <w:tcPr>
            <w:tcW w:w="1301" w:type="dxa"/>
            <w:shd w:val="clear" w:color="auto" w:fill="auto"/>
            <w:vAlign w:val="center"/>
          </w:tcPr>
          <w:p w14:paraId="2C647E16" w14:textId="2C23895C" w:rsidR="00752EE4" w:rsidRPr="003A755A" w:rsidRDefault="00752EE4" w:rsidP="0046463C">
            <w:pPr>
              <w:autoSpaceDE/>
              <w:autoSpaceDN/>
              <w:adjustRightInd/>
              <w:spacing w:after="0"/>
              <w:jc w:val="right"/>
              <w:rPr>
                <w:rFonts w:eastAsia="Times New Roman" w:cs="Arial"/>
                <w:b/>
                <w:bCs/>
                <w:highlight w:val="yellow"/>
                <w:lang w:eastAsia="en-GB"/>
              </w:rPr>
            </w:pPr>
          </w:p>
        </w:tc>
      </w:tr>
      <w:tr w:rsidR="006C72FB" w14:paraId="7DC537BB" w14:textId="77777777" w:rsidTr="00382C85">
        <w:trPr>
          <w:trHeight w:val="566"/>
        </w:trPr>
        <w:tc>
          <w:tcPr>
            <w:tcW w:w="2685" w:type="dxa"/>
            <w:shd w:val="clear" w:color="auto" w:fill="auto"/>
            <w:vAlign w:val="center"/>
            <w:hideMark/>
          </w:tcPr>
          <w:p w14:paraId="6086DDCE" w14:textId="7DF7DB28" w:rsidR="004E5861" w:rsidRPr="00B33D1E" w:rsidRDefault="00A854D0" w:rsidP="004E5861">
            <w:pPr>
              <w:autoSpaceDE/>
              <w:autoSpaceDN/>
              <w:adjustRightInd/>
              <w:spacing w:after="0"/>
              <w:jc w:val="left"/>
              <w:rPr>
                <w:rFonts w:eastAsia="Times New Roman" w:cs="Arial"/>
                <w:b/>
                <w:lang w:eastAsia="en-GB"/>
              </w:rPr>
            </w:pPr>
            <w:r w:rsidRPr="00B33D1E">
              <w:rPr>
                <w:rFonts w:eastAsia="Times New Roman" w:cs="Arial"/>
                <w:b/>
                <w:lang w:eastAsia="en-GB"/>
              </w:rPr>
              <w:t>Pay and pensions previous MTFS</w:t>
            </w:r>
          </w:p>
        </w:tc>
        <w:tc>
          <w:tcPr>
            <w:tcW w:w="1300" w:type="dxa"/>
            <w:shd w:val="clear" w:color="auto" w:fill="auto"/>
            <w:vAlign w:val="center"/>
          </w:tcPr>
          <w:p w14:paraId="30F802A6" w14:textId="3369B4EE" w:rsidR="004E5861" w:rsidRPr="00B33D1E" w:rsidRDefault="00A854D0" w:rsidP="004E5861">
            <w:pPr>
              <w:autoSpaceDE/>
              <w:autoSpaceDN/>
              <w:adjustRightInd/>
              <w:spacing w:after="0"/>
              <w:jc w:val="right"/>
              <w:rPr>
                <w:rFonts w:eastAsia="Times New Roman" w:cs="Arial"/>
                <w:b/>
                <w:lang w:eastAsia="en-GB"/>
              </w:rPr>
            </w:pPr>
            <w:r>
              <w:rPr>
                <w:rFonts w:eastAsia="Times New Roman" w:cs="Arial"/>
                <w:b/>
                <w:lang w:eastAsia="en-GB"/>
              </w:rPr>
              <w:t>7.965</w:t>
            </w:r>
          </w:p>
        </w:tc>
        <w:tc>
          <w:tcPr>
            <w:tcW w:w="1300" w:type="dxa"/>
            <w:shd w:val="clear" w:color="auto" w:fill="auto"/>
            <w:vAlign w:val="center"/>
          </w:tcPr>
          <w:p w14:paraId="358A79D7" w14:textId="794EEB99" w:rsidR="004E5861" w:rsidRPr="00B33D1E" w:rsidRDefault="00A854D0" w:rsidP="004E5861">
            <w:pPr>
              <w:autoSpaceDE/>
              <w:autoSpaceDN/>
              <w:adjustRightInd/>
              <w:spacing w:after="0"/>
              <w:jc w:val="right"/>
              <w:rPr>
                <w:rFonts w:eastAsia="Times New Roman" w:cs="Arial"/>
                <w:b/>
                <w:lang w:eastAsia="en-GB"/>
              </w:rPr>
            </w:pPr>
            <w:r>
              <w:rPr>
                <w:rFonts w:eastAsia="Times New Roman" w:cs="Arial"/>
                <w:b/>
                <w:lang w:eastAsia="en-GB"/>
              </w:rPr>
              <w:t>8.909</w:t>
            </w:r>
          </w:p>
        </w:tc>
        <w:tc>
          <w:tcPr>
            <w:tcW w:w="1300" w:type="dxa"/>
            <w:shd w:val="clear" w:color="auto" w:fill="auto"/>
            <w:vAlign w:val="center"/>
          </w:tcPr>
          <w:p w14:paraId="1C70F749" w14:textId="63B134F5" w:rsidR="004E5861" w:rsidRPr="003A755A" w:rsidRDefault="00A854D0" w:rsidP="004E5861">
            <w:pPr>
              <w:autoSpaceDE/>
              <w:autoSpaceDN/>
              <w:adjustRightInd/>
              <w:spacing w:after="0"/>
              <w:jc w:val="right"/>
              <w:rPr>
                <w:rFonts w:eastAsia="Times New Roman" w:cs="Arial"/>
                <w:b/>
                <w:lang w:eastAsia="en-GB"/>
              </w:rPr>
            </w:pPr>
            <w:r>
              <w:rPr>
                <w:rFonts w:eastAsia="Times New Roman" w:cs="Arial"/>
                <w:b/>
                <w:lang w:eastAsia="en-GB"/>
              </w:rPr>
              <w:t>0.000</w:t>
            </w:r>
          </w:p>
        </w:tc>
        <w:tc>
          <w:tcPr>
            <w:tcW w:w="1300" w:type="dxa"/>
            <w:shd w:val="clear" w:color="auto" w:fill="auto"/>
            <w:vAlign w:val="center"/>
          </w:tcPr>
          <w:p w14:paraId="6052AE7F" w14:textId="02405A30" w:rsidR="004E5861" w:rsidRPr="003A755A" w:rsidRDefault="00A854D0" w:rsidP="004E5861">
            <w:pPr>
              <w:autoSpaceDE/>
              <w:autoSpaceDN/>
              <w:adjustRightInd/>
              <w:spacing w:after="0"/>
              <w:jc w:val="right"/>
              <w:rPr>
                <w:rFonts w:eastAsia="Times New Roman" w:cs="Arial"/>
                <w:b/>
                <w:lang w:eastAsia="en-GB"/>
              </w:rPr>
            </w:pPr>
            <w:r>
              <w:rPr>
                <w:rFonts w:eastAsia="Times New Roman" w:cs="Arial"/>
                <w:b/>
                <w:lang w:eastAsia="en-GB"/>
              </w:rPr>
              <w:t>0.000</w:t>
            </w:r>
          </w:p>
        </w:tc>
        <w:tc>
          <w:tcPr>
            <w:tcW w:w="1301" w:type="dxa"/>
            <w:shd w:val="clear" w:color="auto" w:fill="auto"/>
            <w:vAlign w:val="center"/>
          </w:tcPr>
          <w:p w14:paraId="34CB7E9E" w14:textId="466BE1E0" w:rsidR="004E5861" w:rsidRPr="003A755A" w:rsidRDefault="00A854D0" w:rsidP="004E5861">
            <w:pPr>
              <w:autoSpaceDE/>
              <w:autoSpaceDN/>
              <w:adjustRightInd/>
              <w:spacing w:after="0"/>
              <w:jc w:val="right"/>
              <w:rPr>
                <w:rFonts w:eastAsia="Times New Roman" w:cs="Arial"/>
                <w:b/>
                <w:lang w:eastAsia="en-GB"/>
              </w:rPr>
            </w:pPr>
            <w:r>
              <w:rPr>
                <w:rFonts w:eastAsia="Times New Roman" w:cs="Arial"/>
                <w:b/>
                <w:lang w:eastAsia="en-GB"/>
              </w:rPr>
              <w:t>16.874</w:t>
            </w:r>
          </w:p>
        </w:tc>
      </w:tr>
      <w:tr w:rsidR="006C72FB" w14:paraId="66746206" w14:textId="77777777" w:rsidTr="7DE01747">
        <w:trPr>
          <w:trHeight w:val="214"/>
        </w:trPr>
        <w:tc>
          <w:tcPr>
            <w:tcW w:w="2685" w:type="dxa"/>
            <w:shd w:val="clear" w:color="auto" w:fill="auto"/>
            <w:vAlign w:val="center"/>
            <w:hideMark/>
          </w:tcPr>
          <w:p w14:paraId="11F7F3F4" w14:textId="77777777" w:rsidR="00752EE4" w:rsidRPr="00B33D1E" w:rsidRDefault="00A854D0" w:rsidP="0046463C">
            <w:pPr>
              <w:autoSpaceDE/>
              <w:autoSpaceDN/>
              <w:adjustRightInd/>
              <w:spacing w:after="0"/>
              <w:jc w:val="left"/>
              <w:rPr>
                <w:rFonts w:eastAsia="Times New Roman" w:cs="Arial"/>
                <w:lang w:eastAsia="en-GB"/>
              </w:rPr>
            </w:pPr>
            <w:r w:rsidRPr="00B33D1E">
              <w:rPr>
                <w:rFonts w:eastAsia="Times New Roman" w:cs="Arial"/>
                <w:lang w:eastAsia="en-GB"/>
              </w:rPr>
              <w:t> </w:t>
            </w:r>
          </w:p>
        </w:tc>
        <w:tc>
          <w:tcPr>
            <w:tcW w:w="1300" w:type="dxa"/>
            <w:shd w:val="clear" w:color="auto" w:fill="auto"/>
            <w:vAlign w:val="center"/>
          </w:tcPr>
          <w:p w14:paraId="70568438" w14:textId="2CCFC2D2" w:rsidR="00752EE4" w:rsidRPr="00B33D1E" w:rsidRDefault="00752EE4" w:rsidP="0046463C">
            <w:pPr>
              <w:autoSpaceDE/>
              <w:autoSpaceDN/>
              <w:adjustRightInd/>
              <w:spacing w:after="0"/>
              <w:jc w:val="right"/>
              <w:rPr>
                <w:rFonts w:eastAsia="Times New Roman" w:cs="Arial"/>
                <w:lang w:eastAsia="en-GB"/>
              </w:rPr>
            </w:pPr>
          </w:p>
        </w:tc>
        <w:tc>
          <w:tcPr>
            <w:tcW w:w="1300" w:type="dxa"/>
            <w:shd w:val="clear" w:color="auto" w:fill="auto"/>
            <w:vAlign w:val="center"/>
          </w:tcPr>
          <w:p w14:paraId="421B5B78" w14:textId="007F403B" w:rsidR="00752EE4" w:rsidRPr="00B33D1E" w:rsidRDefault="00752EE4" w:rsidP="0046463C">
            <w:pPr>
              <w:autoSpaceDE/>
              <w:autoSpaceDN/>
              <w:adjustRightInd/>
              <w:spacing w:after="0"/>
              <w:jc w:val="right"/>
              <w:rPr>
                <w:rFonts w:eastAsia="Times New Roman" w:cs="Arial"/>
                <w:b/>
                <w:lang w:eastAsia="en-GB"/>
              </w:rPr>
            </w:pPr>
          </w:p>
        </w:tc>
        <w:tc>
          <w:tcPr>
            <w:tcW w:w="1300" w:type="dxa"/>
            <w:shd w:val="clear" w:color="auto" w:fill="auto"/>
            <w:vAlign w:val="center"/>
          </w:tcPr>
          <w:p w14:paraId="2E90DFA4" w14:textId="6EE273BE" w:rsidR="00752EE4" w:rsidRPr="00B33D1E" w:rsidRDefault="00752EE4" w:rsidP="0046463C">
            <w:pPr>
              <w:autoSpaceDE/>
              <w:autoSpaceDN/>
              <w:adjustRightInd/>
              <w:spacing w:after="0"/>
              <w:jc w:val="right"/>
              <w:rPr>
                <w:rFonts w:eastAsia="Times New Roman" w:cs="Arial"/>
                <w:b/>
                <w:lang w:eastAsia="en-GB"/>
              </w:rPr>
            </w:pPr>
          </w:p>
        </w:tc>
        <w:tc>
          <w:tcPr>
            <w:tcW w:w="1300" w:type="dxa"/>
          </w:tcPr>
          <w:p w14:paraId="6FD64ADB" w14:textId="77777777" w:rsidR="00752EE4" w:rsidRPr="00B33D1E" w:rsidRDefault="00752EE4" w:rsidP="0046463C">
            <w:pPr>
              <w:autoSpaceDE/>
              <w:autoSpaceDN/>
              <w:adjustRightInd/>
              <w:spacing w:after="0"/>
              <w:jc w:val="right"/>
              <w:rPr>
                <w:rFonts w:eastAsia="Times New Roman" w:cs="Arial"/>
                <w:b/>
                <w:lang w:eastAsia="en-GB"/>
              </w:rPr>
            </w:pPr>
          </w:p>
        </w:tc>
        <w:tc>
          <w:tcPr>
            <w:tcW w:w="1301" w:type="dxa"/>
            <w:shd w:val="clear" w:color="auto" w:fill="auto"/>
            <w:vAlign w:val="center"/>
          </w:tcPr>
          <w:p w14:paraId="06E05047" w14:textId="6CA4DEE0" w:rsidR="00752EE4" w:rsidRPr="00B33D1E" w:rsidRDefault="00752EE4" w:rsidP="0046463C">
            <w:pPr>
              <w:autoSpaceDE/>
              <w:autoSpaceDN/>
              <w:adjustRightInd/>
              <w:spacing w:after="0"/>
              <w:jc w:val="right"/>
              <w:rPr>
                <w:rFonts w:eastAsia="Times New Roman" w:cs="Arial"/>
                <w:b/>
                <w:lang w:eastAsia="en-GB"/>
              </w:rPr>
            </w:pPr>
          </w:p>
        </w:tc>
      </w:tr>
      <w:tr w:rsidR="006C72FB" w14:paraId="18D276F5" w14:textId="77777777" w:rsidTr="00382C85">
        <w:trPr>
          <w:trHeight w:val="566"/>
        </w:trPr>
        <w:tc>
          <w:tcPr>
            <w:tcW w:w="2685" w:type="dxa"/>
            <w:shd w:val="clear" w:color="auto" w:fill="auto"/>
            <w:vAlign w:val="center"/>
            <w:hideMark/>
          </w:tcPr>
          <w:p w14:paraId="19E15CCB" w14:textId="77777777" w:rsidR="00F7000C" w:rsidRPr="00B33D1E" w:rsidRDefault="00A854D0" w:rsidP="00F7000C">
            <w:pPr>
              <w:autoSpaceDE/>
              <w:autoSpaceDN/>
              <w:adjustRightInd/>
              <w:spacing w:after="0"/>
              <w:jc w:val="left"/>
              <w:rPr>
                <w:rFonts w:eastAsia="Times New Roman" w:cs="Arial"/>
                <w:b/>
                <w:lang w:eastAsia="en-GB"/>
              </w:rPr>
            </w:pPr>
            <w:r w:rsidRPr="00B33D1E">
              <w:rPr>
                <w:rFonts w:eastAsia="Times New Roman" w:cs="Arial"/>
                <w:b/>
                <w:lang w:eastAsia="en-GB"/>
              </w:rPr>
              <w:t>Variance</w:t>
            </w:r>
          </w:p>
        </w:tc>
        <w:tc>
          <w:tcPr>
            <w:tcW w:w="1300" w:type="dxa"/>
            <w:shd w:val="clear" w:color="auto" w:fill="auto"/>
            <w:vAlign w:val="center"/>
          </w:tcPr>
          <w:p w14:paraId="75B19EB3" w14:textId="3D3C9255" w:rsidR="00F7000C" w:rsidRPr="00B33D1E" w:rsidRDefault="00A854D0" w:rsidP="00F7000C">
            <w:pPr>
              <w:autoSpaceDE/>
              <w:autoSpaceDN/>
              <w:adjustRightInd/>
              <w:spacing w:after="0"/>
              <w:jc w:val="right"/>
              <w:rPr>
                <w:rFonts w:eastAsia="Times New Roman" w:cs="Arial"/>
                <w:b/>
                <w:lang w:eastAsia="en-GB"/>
              </w:rPr>
            </w:pPr>
            <w:r>
              <w:rPr>
                <w:rFonts w:eastAsia="Times New Roman" w:cs="Arial"/>
                <w:b/>
                <w:lang w:eastAsia="en-GB"/>
              </w:rPr>
              <w:t>17.139</w:t>
            </w:r>
          </w:p>
        </w:tc>
        <w:tc>
          <w:tcPr>
            <w:tcW w:w="1300" w:type="dxa"/>
            <w:shd w:val="clear" w:color="auto" w:fill="auto"/>
            <w:vAlign w:val="center"/>
          </w:tcPr>
          <w:p w14:paraId="3A2239C1" w14:textId="13AB2E8E" w:rsidR="00F7000C" w:rsidRPr="00B33D1E" w:rsidRDefault="00A854D0" w:rsidP="00F7000C">
            <w:pPr>
              <w:autoSpaceDE/>
              <w:autoSpaceDN/>
              <w:adjustRightInd/>
              <w:spacing w:after="0"/>
              <w:jc w:val="right"/>
              <w:rPr>
                <w:rFonts w:eastAsia="Times New Roman" w:cs="Arial"/>
                <w:b/>
                <w:lang w:eastAsia="en-GB"/>
              </w:rPr>
            </w:pPr>
            <w:r>
              <w:rPr>
                <w:rFonts w:eastAsia="Times New Roman" w:cs="Arial"/>
                <w:b/>
                <w:lang w:eastAsia="en-GB"/>
              </w:rPr>
              <w:t>-0.075</w:t>
            </w:r>
          </w:p>
        </w:tc>
        <w:tc>
          <w:tcPr>
            <w:tcW w:w="1300" w:type="dxa"/>
            <w:shd w:val="clear" w:color="auto" w:fill="auto"/>
            <w:vAlign w:val="center"/>
          </w:tcPr>
          <w:p w14:paraId="4E0E7D59" w14:textId="28CF646A" w:rsidR="00F7000C" w:rsidRPr="00B33D1E" w:rsidRDefault="00A854D0" w:rsidP="00F7000C">
            <w:pPr>
              <w:autoSpaceDE/>
              <w:autoSpaceDN/>
              <w:adjustRightInd/>
              <w:spacing w:after="0"/>
              <w:jc w:val="right"/>
              <w:rPr>
                <w:rFonts w:eastAsia="Times New Roman" w:cs="Arial"/>
                <w:b/>
                <w:lang w:eastAsia="en-GB"/>
              </w:rPr>
            </w:pPr>
            <w:r>
              <w:rPr>
                <w:rFonts w:eastAsia="Times New Roman" w:cs="Arial"/>
                <w:b/>
                <w:lang w:eastAsia="en-GB"/>
              </w:rPr>
              <w:t>9.021</w:t>
            </w:r>
          </w:p>
        </w:tc>
        <w:tc>
          <w:tcPr>
            <w:tcW w:w="1300" w:type="dxa"/>
            <w:shd w:val="clear" w:color="auto" w:fill="auto"/>
            <w:vAlign w:val="center"/>
          </w:tcPr>
          <w:p w14:paraId="69ED79E2" w14:textId="373AEA23" w:rsidR="00F7000C" w:rsidRPr="00B33D1E" w:rsidRDefault="00A854D0" w:rsidP="00F7000C">
            <w:pPr>
              <w:autoSpaceDE/>
              <w:autoSpaceDN/>
              <w:adjustRightInd/>
              <w:spacing w:after="0"/>
              <w:jc w:val="right"/>
              <w:rPr>
                <w:rFonts w:eastAsia="Times New Roman" w:cs="Arial"/>
                <w:b/>
                <w:lang w:eastAsia="en-GB"/>
              </w:rPr>
            </w:pPr>
            <w:r>
              <w:rPr>
                <w:rFonts w:eastAsia="Times New Roman" w:cs="Arial"/>
                <w:b/>
                <w:lang w:eastAsia="en-GB"/>
              </w:rPr>
              <w:t>8.988</w:t>
            </w:r>
          </w:p>
        </w:tc>
        <w:tc>
          <w:tcPr>
            <w:tcW w:w="1301" w:type="dxa"/>
            <w:shd w:val="clear" w:color="auto" w:fill="auto"/>
            <w:vAlign w:val="center"/>
          </w:tcPr>
          <w:p w14:paraId="1CEBB02D" w14:textId="08580787" w:rsidR="00F7000C" w:rsidRPr="00B33D1E" w:rsidRDefault="00A854D0" w:rsidP="00F7000C">
            <w:pPr>
              <w:autoSpaceDE/>
              <w:autoSpaceDN/>
              <w:adjustRightInd/>
              <w:spacing w:after="0"/>
              <w:jc w:val="right"/>
              <w:rPr>
                <w:rFonts w:eastAsia="Times New Roman" w:cs="Arial"/>
                <w:b/>
                <w:lang w:eastAsia="en-GB"/>
              </w:rPr>
            </w:pPr>
            <w:r>
              <w:rPr>
                <w:rFonts w:eastAsia="Times New Roman" w:cs="Arial"/>
                <w:b/>
                <w:lang w:eastAsia="en-GB"/>
              </w:rPr>
              <w:t>35.07</w:t>
            </w:r>
            <w:r w:rsidR="00485976">
              <w:rPr>
                <w:rFonts w:eastAsia="Times New Roman" w:cs="Arial"/>
                <w:b/>
                <w:lang w:eastAsia="en-GB"/>
              </w:rPr>
              <w:t>2</w:t>
            </w:r>
          </w:p>
        </w:tc>
      </w:tr>
    </w:tbl>
    <w:p w14:paraId="6745F030" w14:textId="77777777" w:rsidR="00873B1A" w:rsidRPr="005C3F5B" w:rsidRDefault="00873B1A" w:rsidP="0046463C">
      <w:pPr>
        <w:spacing w:after="0"/>
        <w:rPr>
          <w:rFonts w:cs="Arial"/>
          <w:b/>
        </w:rPr>
      </w:pPr>
    </w:p>
    <w:p w14:paraId="56A0BF1C" w14:textId="042DACAC" w:rsidR="0046463C" w:rsidRPr="0068002D" w:rsidRDefault="00A854D0" w:rsidP="0046463C">
      <w:pPr>
        <w:spacing w:after="0"/>
        <w:rPr>
          <w:rFonts w:cs="Arial"/>
          <w:b/>
        </w:rPr>
      </w:pPr>
      <w:r w:rsidRPr="0068002D">
        <w:rPr>
          <w:rFonts w:cs="Arial"/>
          <w:b/>
        </w:rPr>
        <w:t>3.2 Price inflation and cost changes</w:t>
      </w:r>
    </w:p>
    <w:p w14:paraId="6FD08350" w14:textId="77777777" w:rsidR="0046463C" w:rsidRPr="0068002D" w:rsidRDefault="00A854D0" w:rsidP="0046463C">
      <w:pPr>
        <w:tabs>
          <w:tab w:val="left" w:pos="1134"/>
        </w:tabs>
        <w:spacing w:after="0"/>
        <w:rPr>
          <w:rFonts w:cs="Arial"/>
        </w:rPr>
      </w:pPr>
      <w:r w:rsidRPr="0068002D">
        <w:rPr>
          <w:rFonts w:cs="Arial"/>
        </w:rPr>
        <w:t xml:space="preserve">Contractual price increases represent a significant cost pressure to the county council. The assumptions have been subject to regular review by services. </w:t>
      </w:r>
    </w:p>
    <w:p w14:paraId="2D4A94B7" w14:textId="77777777" w:rsidR="0046463C" w:rsidRPr="0068002D" w:rsidRDefault="0046463C" w:rsidP="0046463C">
      <w:pPr>
        <w:tabs>
          <w:tab w:val="left" w:pos="1134"/>
        </w:tabs>
        <w:spacing w:after="0"/>
        <w:rPr>
          <w:rFonts w:cs="Arial"/>
        </w:rPr>
      </w:pPr>
    </w:p>
    <w:p w14:paraId="213805AD" w14:textId="4A4BC741" w:rsidR="0046463C" w:rsidRPr="003A755A" w:rsidRDefault="00A854D0" w:rsidP="0046463C">
      <w:pPr>
        <w:tabs>
          <w:tab w:val="left" w:pos="1134"/>
        </w:tabs>
        <w:spacing w:after="0"/>
        <w:rPr>
          <w:rFonts w:cs="Arial"/>
        </w:rPr>
      </w:pPr>
      <w:r w:rsidRPr="200D3689">
        <w:rPr>
          <w:rFonts w:cs="Arial"/>
        </w:rPr>
        <w:t xml:space="preserve">The largest part of the inflationary calculations relates to Adult Social Care and reflect the impact of </w:t>
      </w:r>
      <w:r w:rsidR="00152008">
        <w:rPr>
          <w:rFonts w:cs="Arial"/>
        </w:rPr>
        <w:t xml:space="preserve">forecast increases in </w:t>
      </w:r>
      <w:r w:rsidRPr="200D3689">
        <w:rPr>
          <w:rFonts w:cs="Arial"/>
        </w:rPr>
        <w:t xml:space="preserve">the national living wage </w:t>
      </w:r>
      <w:r w:rsidR="00152008">
        <w:rPr>
          <w:rFonts w:cs="Arial"/>
        </w:rPr>
        <w:t xml:space="preserve">and the consumer price index </w:t>
      </w:r>
      <w:r w:rsidRPr="200D3689">
        <w:rPr>
          <w:rFonts w:cs="Arial"/>
        </w:rPr>
        <w:t>o</w:t>
      </w:r>
      <w:r w:rsidR="00152008">
        <w:rPr>
          <w:rFonts w:cs="Arial"/>
        </w:rPr>
        <w:t>n</w:t>
      </w:r>
      <w:r w:rsidRPr="200D3689">
        <w:rPr>
          <w:rFonts w:cs="Arial"/>
        </w:rPr>
        <w:t xml:space="preserve"> the cost of services that are commissioned from external providers.</w:t>
      </w:r>
      <w:r w:rsidR="006E6925">
        <w:rPr>
          <w:rFonts w:cs="Arial"/>
        </w:rPr>
        <w:t xml:space="preserve"> In 2023/24, the MTFS includes an increase of £7.3m to reflect </w:t>
      </w:r>
      <w:r w:rsidR="00152008">
        <w:rPr>
          <w:rFonts w:cs="Arial"/>
        </w:rPr>
        <w:t xml:space="preserve">forecast </w:t>
      </w:r>
      <w:r w:rsidR="006E6925">
        <w:rPr>
          <w:rFonts w:cs="Arial"/>
        </w:rPr>
        <w:t xml:space="preserve">inflationary pressures, meaning total inflation for Adult Social care has increased to £24.567m. Other service areas such as children's social care (c£3.5m), highways (c£0.5m), waste services (£1.6m), transport (£1.9m) and premises budgets (£3.5m) all have an increased budget requirement in 2023/24 reflected in the MTFS at quarter 1 as a result of inflationary rises, with further increases in later years. </w:t>
      </w:r>
      <w:r w:rsidR="003C2DCF">
        <w:rPr>
          <w:rFonts w:cs="Arial"/>
        </w:rPr>
        <w:t>The highest inflationary pressures in percentage terms are on energy costs with forecast increases in 2023/24 of 54.2% on electricity and 110.7% on gas based on industry forecasts.</w:t>
      </w:r>
    </w:p>
    <w:p w14:paraId="7D3E857A" w14:textId="77777777" w:rsidR="005F28BA" w:rsidRPr="003A755A" w:rsidRDefault="005F28BA" w:rsidP="0046463C">
      <w:pPr>
        <w:tabs>
          <w:tab w:val="left" w:pos="1134"/>
        </w:tabs>
        <w:spacing w:after="0"/>
        <w:rPr>
          <w:rFonts w:cs="Arial"/>
        </w:rPr>
      </w:pPr>
    </w:p>
    <w:p w14:paraId="62938C09" w14:textId="63A29602" w:rsidR="0046463C" w:rsidRPr="003A755A" w:rsidRDefault="00A854D0" w:rsidP="0046463C">
      <w:pPr>
        <w:spacing w:after="0"/>
        <w:rPr>
          <w:rFonts w:cs="Arial"/>
        </w:rPr>
      </w:pPr>
      <w:r w:rsidRPr="200D3689">
        <w:rPr>
          <w:rFonts w:cs="Arial"/>
        </w:rPr>
        <w:t xml:space="preserve">The updated inflationary pressures are analysed across the authority as per </w:t>
      </w:r>
      <w:r w:rsidR="002E3AD6" w:rsidRPr="200D3689">
        <w:rPr>
          <w:rFonts w:cs="Arial"/>
        </w:rPr>
        <w:t>T</w:t>
      </w:r>
      <w:r w:rsidRPr="200D3689">
        <w:rPr>
          <w:rFonts w:cs="Arial"/>
        </w:rPr>
        <w:t xml:space="preserve">able 5:  </w:t>
      </w:r>
    </w:p>
    <w:p w14:paraId="517012B4" w14:textId="44BC06D7" w:rsidR="002B730A" w:rsidRDefault="00A854D0">
      <w:pPr>
        <w:autoSpaceDE/>
        <w:autoSpaceDN/>
        <w:adjustRightInd/>
        <w:spacing w:after="0"/>
        <w:jc w:val="left"/>
        <w:rPr>
          <w:rFonts w:cs="Arial"/>
          <w:highlight w:val="yellow"/>
        </w:rPr>
      </w:pPr>
      <w:r>
        <w:rPr>
          <w:rFonts w:cs="Arial"/>
          <w:highlight w:val="yellow"/>
        </w:rPr>
        <w:br w:type="page"/>
      </w:r>
    </w:p>
    <w:p w14:paraId="7C5F2EB5" w14:textId="77777777" w:rsidR="0046463C" w:rsidRPr="003A755A" w:rsidRDefault="0046463C" w:rsidP="0046463C">
      <w:pPr>
        <w:spacing w:after="0"/>
        <w:rPr>
          <w:rFonts w:cs="Arial"/>
          <w:highlight w:val="yellow"/>
        </w:rPr>
      </w:pPr>
    </w:p>
    <w:p w14:paraId="538A70A3" w14:textId="77777777" w:rsidR="0046463C" w:rsidRPr="006535F1" w:rsidRDefault="00A854D0" w:rsidP="0046463C">
      <w:pPr>
        <w:spacing w:after="0"/>
        <w:rPr>
          <w:rFonts w:cs="Arial"/>
          <w:b/>
          <w:i/>
          <w:u w:val="single"/>
        </w:rPr>
      </w:pPr>
      <w:r w:rsidRPr="006535F1">
        <w:rPr>
          <w:rFonts w:cs="Arial"/>
          <w:b/>
          <w:i/>
          <w:u w:val="single"/>
        </w:rPr>
        <w:t>Table 5</w:t>
      </w:r>
    </w:p>
    <w:p w14:paraId="010FF09D" w14:textId="77777777" w:rsidR="0046463C" w:rsidRPr="003A755A" w:rsidRDefault="0046463C" w:rsidP="0046463C">
      <w:pPr>
        <w:tabs>
          <w:tab w:val="left" w:pos="567"/>
          <w:tab w:val="left" w:pos="1134"/>
        </w:tabs>
        <w:spacing w:after="0"/>
        <w:rPr>
          <w:rFonts w:cs="Arial"/>
          <w:highlight w:val="yellow"/>
        </w:rPr>
      </w:pPr>
    </w:p>
    <w:tbl>
      <w:tblPr>
        <w:tblW w:w="9016" w:type="dxa"/>
        <w:tblInd w:w="-10" w:type="dxa"/>
        <w:tblLayout w:type="fixed"/>
        <w:tblLook w:val="04A0" w:firstRow="1" w:lastRow="0" w:firstColumn="1" w:lastColumn="0" w:noHBand="0" w:noVBand="1"/>
      </w:tblPr>
      <w:tblGrid>
        <w:gridCol w:w="2585"/>
        <w:gridCol w:w="1286"/>
        <w:gridCol w:w="1286"/>
        <w:gridCol w:w="1286"/>
        <w:gridCol w:w="1286"/>
        <w:gridCol w:w="1287"/>
      </w:tblGrid>
      <w:tr w:rsidR="006C72FB" w14:paraId="64792941" w14:textId="77777777" w:rsidTr="008E241A">
        <w:trPr>
          <w:trHeight w:val="275"/>
        </w:trPr>
        <w:tc>
          <w:tcPr>
            <w:tcW w:w="2585"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5B8E70E1" w14:textId="77777777" w:rsidR="00BD0678" w:rsidRPr="00BD0678" w:rsidRDefault="00A854D0" w:rsidP="00BD0678">
            <w:pPr>
              <w:autoSpaceDE/>
              <w:autoSpaceDN/>
              <w:adjustRightInd/>
              <w:spacing w:after="0"/>
              <w:rPr>
                <w:rFonts w:eastAsia="Times New Roman" w:cs="Arial"/>
                <w:lang w:eastAsia="en-GB"/>
              </w:rPr>
            </w:pPr>
            <w:r w:rsidRPr="00BD0678">
              <w:rPr>
                <w:rFonts w:eastAsia="Times New Roman" w:cs="Arial"/>
                <w:lang w:eastAsia="en-GB"/>
              </w:rPr>
              <w:t> </w:t>
            </w:r>
          </w:p>
        </w:tc>
        <w:tc>
          <w:tcPr>
            <w:tcW w:w="1286" w:type="dxa"/>
            <w:tcBorders>
              <w:top w:val="single" w:sz="8" w:space="0" w:color="auto"/>
              <w:left w:val="nil"/>
              <w:bottom w:val="nil"/>
              <w:right w:val="single" w:sz="8" w:space="0" w:color="auto"/>
            </w:tcBorders>
            <w:shd w:val="clear" w:color="000000" w:fill="BFBFBF"/>
            <w:noWrap/>
            <w:vAlign w:val="center"/>
            <w:hideMark/>
          </w:tcPr>
          <w:p w14:paraId="028D4A46" w14:textId="5A08764E" w:rsidR="00BD0678" w:rsidRPr="00BD0678" w:rsidRDefault="00A854D0" w:rsidP="00BD0678">
            <w:pPr>
              <w:autoSpaceDE/>
              <w:autoSpaceDN/>
              <w:adjustRightInd/>
              <w:spacing w:after="0"/>
              <w:jc w:val="center"/>
              <w:rPr>
                <w:rFonts w:eastAsia="Times New Roman" w:cs="Arial"/>
                <w:b/>
                <w:bCs/>
                <w:lang w:eastAsia="en-GB"/>
              </w:rPr>
            </w:pPr>
            <w:r w:rsidRPr="00BD0678">
              <w:rPr>
                <w:rFonts w:eastAsia="Times New Roman" w:cs="Arial"/>
                <w:b/>
                <w:bCs/>
                <w:lang w:eastAsia="en-GB"/>
              </w:rPr>
              <w:t>2023/24</w:t>
            </w:r>
          </w:p>
        </w:tc>
        <w:tc>
          <w:tcPr>
            <w:tcW w:w="1286" w:type="dxa"/>
            <w:tcBorders>
              <w:top w:val="single" w:sz="8" w:space="0" w:color="auto"/>
              <w:left w:val="nil"/>
              <w:bottom w:val="nil"/>
              <w:right w:val="single" w:sz="8" w:space="0" w:color="auto"/>
            </w:tcBorders>
            <w:shd w:val="clear" w:color="000000" w:fill="BFBFBF"/>
            <w:noWrap/>
            <w:vAlign w:val="center"/>
            <w:hideMark/>
          </w:tcPr>
          <w:p w14:paraId="016718E7" w14:textId="2C87743E" w:rsidR="00BD0678" w:rsidRPr="00BD0678" w:rsidRDefault="00A854D0" w:rsidP="00BD0678">
            <w:pPr>
              <w:autoSpaceDE/>
              <w:autoSpaceDN/>
              <w:adjustRightInd/>
              <w:spacing w:after="0"/>
              <w:jc w:val="center"/>
              <w:rPr>
                <w:rFonts w:eastAsia="Times New Roman" w:cs="Arial"/>
                <w:b/>
                <w:bCs/>
                <w:lang w:eastAsia="en-GB"/>
              </w:rPr>
            </w:pPr>
            <w:r w:rsidRPr="00BD0678">
              <w:rPr>
                <w:rFonts w:eastAsia="Times New Roman" w:cs="Arial"/>
                <w:b/>
                <w:bCs/>
                <w:lang w:eastAsia="en-GB"/>
              </w:rPr>
              <w:t>2024/25</w:t>
            </w:r>
          </w:p>
        </w:tc>
        <w:tc>
          <w:tcPr>
            <w:tcW w:w="1286" w:type="dxa"/>
            <w:tcBorders>
              <w:top w:val="single" w:sz="8" w:space="0" w:color="auto"/>
              <w:left w:val="nil"/>
              <w:bottom w:val="nil"/>
              <w:right w:val="single" w:sz="4" w:space="0" w:color="auto"/>
            </w:tcBorders>
            <w:shd w:val="clear" w:color="000000" w:fill="BFBFBF"/>
            <w:noWrap/>
            <w:vAlign w:val="center"/>
            <w:hideMark/>
          </w:tcPr>
          <w:p w14:paraId="6B33159B" w14:textId="030E86B6" w:rsidR="00BD0678" w:rsidRPr="00BD0678" w:rsidRDefault="00A854D0" w:rsidP="00BD0678">
            <w:pPr>
              <w:autoSpaceDE/>
              <w:autoSpaceDN/>
              <w:adjustRightInd/>
              <w:spacing w:after="0"/>
              <w:jc w:val="center"/>
              <w:rPr>
                <w:rFonts w:eastAsia="Times New Roman" w:cs="Arial"/>
                <w:b/>
                <w:bCs/>
                <w:lang w:eastAsia="en-GB"/>
              </w:rPr>
            </w:pPr>
            <w:r w:rsidRPr="00BD0678">
              <w:rPr>
                <w:rFonts w:eastAsia="Times New Roman" w:cs="Arial"/>
                <w:b/>
                <w:bCs/>
                <w:lang w:eastAsia="en-GB"/>
              </w:rPr>
              <w:t>2025/26</w:t>
            </w:r>
          </w:p>
        </w:tc>
        <w:tc>
          <w:tcPr>
            <w:tcW w:w="1286" w:type="dxa"/>
            <w:tcBorders>
              <w:top w:val="single" w:sz="8" w:space="0" w:color="auto"/>
              <w:left w:val="single" w:sz="4" w:space="0" w:color="auto"/>
              <w:right w:val="single" w:sz="4" w:space="0" w:color="auto"/>
            </w:tcBorders>
            <w:shd w:val="clear" w:color="000000" w:fill="BFBFBF"/>
          </w:tcPr>
          <w:p w14:paraId="6B0A4399" w14:textId="17033A98" w:rsidR="00BD0678" w:rsidRPr="00BD0678" w:rsidRDefault="00A854D0" w:rsidP="00BD0678">
            <w:pPr>
              <w:autoSpaceDE/>
              <w:autoSpaceDN/>
              <w:adjustRightInd/>
              <w:spacing w:after="0"/>
              <w:jc w:val="center"/>
              <w:rPr>
                <w:rFonts w:eastAsia="Times New Roman" w:cs="Arial"/>
                <w:b/>
                <w:bCs/>
                <w:lang w:eastAsia="en-GB"/>
              </w:rPr>
            </w:pPr>
            <w:r w:rsidRPr="00BD0678">
              <w:rPr>
                <w:rFonts w:eastAsia="Times New Roman" w:cs="Arial"/>
                <w:b/>
                <w:bCs/>
                <w:lang w:eastAsia="en-GB"/>
              </w:rPr>
              <w:t>2026/27</w:t>
            </w:r>
          </w:p>
        </w:tc>
        <w:tc>
          <w:tcPr>
            <w:tcW w:w="1287" w:type="dxa"/>
            <w:tcBorders>
              <w:top w:val="single" w:sz="8" w:space="0" w:color="auto"/>
              <w:left w:val="single" w:sz="4" w:space="0" w:color="auto"/>
              <w:bottom w:val="nil"/>
              <w:right w:val="single" w:sz="8" w:space="0" w:color="auto"/>
            </w:tcBorders>
            <w:shd w:val="clear" w:color="000000" w:fill="BFBFBF"/>
            <w:noWrap/>
            <w:vAlign w:val="center"/>
            <w:hideMark/>
          </w:tcPr>
          <w:p w14:paraId="21D0DB48" w14:textId="672AABB6" w:rsidR="00BD0678" w:rsidRPr="00BD0678" w:rsidRDefault="00A854D0" w:rsidP="00BD0678">
            <w:pPr>
              <w:autoSpaceDE/>
              <w:autoSpaceDN/>
              <w:adjustRightInd/>
              <w:spacing w:after="0"/>
              <w:jc w:val="center"/>
              <w:rPr>
                <w:rFonts w:eastAsia="Times New Roman" w:cs="Arial"/>
                <w:b/>
                <w:bCs/>
                <w:lang w:eastAsia="en-GB"/>
              </w:rPr>
            </w:pPr>
            <w:r w:rsidRPr="00BD0678">
              <w:rPr>
                <w:rFonts w:eastAsia="Times New Roman" w:cs="Arial"/>
                <w:b/>
                <w:bCs/>
                <w:lang w:eastAsia="en-GB"/>
              </w:rPr>
              <w:t>Total</w:t>
            </w:r>
          </w:p>
        </w:tc>
      </w:tr>
      <w:tr w:rsidR="006C72FB" w14:paraId="27099F12" w14:textId="77777777" w:rsidTr="008E241A">
        <w:trPr>
          <w:trHeight w:val="284"/>
        </w:trPr>
        <w:tc>
          <w:tcPr>
            <w:tcW w:w="2585" w:type="dxa"/>
            <w:vMerge/>
            <w:tcBorders>
              <w:top w:val="single" w:sz="8" w:space="0" w:color="auto"/>
              <w:left w:val="single" w:sz="8" w:space="0" w:color="auto"/>
              <w:bottom w:val="single" w:sz="8" w:space="0" w:color="auto"/>
              <w:right w:val="single" w:sz="8" w:space="0" w:color="auto"/>
            </w:tcBorders>
            <w:vAlign w:val="center"/>
            <w:hideMark/>
          </w:tcPr>
          <w:p w14:paraId="17308320" w14:textId="77777777" w:rsidR="00BD0678" w:rsidRPr="008E241A" w:rsidRDefault="00BD0678" w:rsidP="0046463C">
            <w:pPr>
              <w:autoSpaceDE/>
              <w:autoSpaceDN/>
              <w:adjustRightInd/>
              <w:spacing w:after="0"/>
              <w:jc w:val="left"/>
              <w:rPr>
                <w:rFonts w:eastAsia="Times New Roman" w:cs="Arial"/>
                <w:lang w:eastAsia="en-GB"/>
              </w:rPr>
            </w:pPr>
          </w:p>
        </w:tc>
        <w:tc>
          <w:tcPr>
            <w:tcW w:w="1286" w:type="dxa"/>
            <w:tcBorders>
              <w:top w:val="nil"/>
              <w:left w:val="nil"/>
              <w:bottom w:val="single" w:sz="8" w:space="0" w:color="auto"/>
              <w:right w:val="single" w:sz="8" w:space="0" w:color="auto"/>
            </w:tcBorders>
            <w:shd w:val="clear" w:color="000000" w:fill="BFBFBF"/>
            <w:noWrap/>
            <w:vAlign w:val="center"/>
            <w:hideMark/>
          </w:tcPr>
          <w:p w14:paraId="3B23144E" w14:textId="77777777" w:rsidR="00BD0678" w:rsidRPr="008E241A" w:rsidRDefault="00A854D0" w:rsidP="0046463C">
            <w:pPr>
              <w:autoSpaceDE/>
              <w:autoSpaceDN/>
              <w:adjustRightInd/>
              <w:spacing w:after="0"/>
              <w:jc w:val="center"/>
              <w:rPr>
                <w:rFonts w:eastAsia="Times New Roman" w:cs="Arial"/>
                <w:b/>
                <w:bCs/>
                <w:lang w:eastAsia="en-GB"/>
              </w:rPr>
            </w:pPr>
            <w:r w:rsidRPr="008E241A">
              <w:rPr>
                <w:rFonts w:eastAsia="Times New Roman" w:cs="Arial"/>
                <w:b/>
                <w:bCs/>
                <w:lang w:eastAsia="en-GB"/>
              </w:rPr>
              <w:t>£m</w:t>
            </w:r>
          </w:p>
        </w:tc>
        <w:tc>
          <w:tcPr>
            <w:tcW w:w="1286" w:type="dxa"/>
            <w:tcBorders>
              <w:top w:val="nil"/>
              <w:left w:val="nil"/>
              <w:bottom w:val="single" w:sz="8" w:space="0" w:color="auto"/>
              <w:right w:val="single" w:sz="8" w:space="0" w:color="auto"/>
            </w:tcBorders>
            <w:shd w:val="clear" w:color="000000" w:fill="BFBFBF"/>
            <w:noWrap/>
            <w:vAlign w:val="center"/>
            <w:hideMark/>
          </w:tcPr>
          <w:p w14:paraId="4BCEB838" w14:textId="77777777" w:rsidR="00BD0678" w:rsidRPr="008E241A" w:rsidRDefault="00A854D0" w:rsidP="0046463C">
            <w:pPr>
              <w:autoSpaceDE/>
              <w:autoSpaceDN/>
              <w:adjustRightInd/>
              <w:spacing w:after="0"/>
              <w:jc w:val="center"/>
              <w:rPr>
                <w:rFonts w:eastAsia="Times New Roman" w:cs="Arial"/>
                <w:b/>
                <w:bCs/>
                <w:lang w:eastAsia="en-GB"/>
              </w:rPr>
            </w:pPr>
            <w:r w:rsidRPr="008E241A">
              <w:rPr>
                <w:rFonts w:eastAsia="Times New Roman" w:cs="Arial"/>
                <w:b/>
                <w:bCs/>
                <w:lang w:eastAsia="en-GB"/>
              </w:rPr>
              <w:t>£m</w:t>
            </w:r>
          </w:p>
        </w:tc>
        <w:tc>
          <w:tcPr>
            <w:tcW w:w="1286" w:type="dxa"/>
            <w:tcBorders>
              <w:top w:val="nil"/>
              <w:left w:val="nil"/>
              <w:bottom w:val="single" w:sz="8" w:space="0" w:color="auto"/>
              <w:right w:val="single" w:sz="4" w:space="0" w:color="auto"/>
            </w:tcBorders>
            <w:shd w:val="clear" w:color="000000" w:fill="BFBFBF"/>
            <w:noWrap/>
            <w:vAlign w:val="center"/>
            <w:hideMark/>
          </w:tcPr>
          <w:p w14:paraId="547E2BE9" w14:textId="77777777" w:rsidR="00BD0678" w:rsidRPr="008E241A" w:rsidRDefault="00A854D0" w:rsidP="0046463C">
            <w:pPr>
              <w:autoSpaceDE/>
              <w:autoSpaceDN/>
              <w:adjustRightInd/>
              <w:spacing w:after="0"/>
              <w:jc w:val="center"/>
              <w:rPr>
                <w:rFonts w:eastAsia="Times New Roman" w:cs="Arial"/>
                <w:b/>
                <w:bCs/>
                <w:lang w:eastAsia="en-GB"/>
              </w:rPr>
            </w:pPr>
            <w:r w:rsidRPr="008E241A">
              <w:rPr>
                <w:rFonts w:eastAsia="Times New Roman" w:cs="Arial"/>
                <w:b/>
                <w:bCs/>
                <w:lang w:eastAsia="en-GB"/>
              </w:rPr>
              <w:t>£m</w:t>
            </w:r>
          </w:p>
        </w:tc>
        <w:tc>
          <w:tcPr>
            <w:tcW w:w="1286" w:type="dxa"/>
            <w:tcBorders>
              <w:left w:val="single" w:sz="4" w:space="0" w:color="auto"/>
              <w:bottom w:val="single" w:sz="8" w:space="0" w:color="auto"/>
              <w:right w:val="single" w:sz="4" w:space="0" w:color="auto"/>
            </w:tcBorders>
            <w:shd w:val="clear" w:color="000000" w:fill="BFBFBF"/>
          </w:tcPr>
          <w:p w14:paraId="0F1A7099" w14:textId="5535F5C1" w:rsidR="00BD0678" w:rsidRPr="008E241A" w:rsidRDefault="00A854D0" w:rsidP="0046463C">
            <w:pPr>
              <w:autoSpaceDE/>
              <w:autoSpaceDN/>
              <w:adjustRightInd/>
              <w:spacing w:after="0"/>
              <w:jc w:val="center"/>
              <w:rPr>
                <w:rFonts w:eastAsia="Times New Roman" w:cs="Arial"/>
                <w:b/>
                <w:bCs/>
                <w:lang w:eastAsia="en-GB"/>
              </w:rPr>
            </w:pPr>
            <w:r>
              <w:rPr>
                <w:rFonts w:eastAsia="Times New Roman" w:cs="Arial"/>
                <w:b/>
                <w:bCs/>
                <w:lang w:eastAsia="en-GB"/>
              </w:rPr>
              <w:t>£m</w:t>
            </w:r>
          </w:p>
        </w:tc>
        <w:tc>
          <w:tcPr>
            <w:tcW w:w="1287" w:type="dxa"/>
            <w:tcBorders>
              <w:top w:val="nil"/>
              <w:left w:val="single" w:sz="4" w:space="0" w:color="auto"/>
              <w:bottom w:val="single" w:sz="8" w:space="0" w:color="auto"/>
              <w:right w:val="single" w:sz="8" w:space="0" w:color="auto"/>
            </w:tcBorders>
            <w:shd w:val="clear" w:color="000000" w:fill="BFBFBF"/>
            <w:noWrap/>
            <w:vAlign w:val="center"/>
            <w:hideMark/>
          </w:tcPr>
          <w:p w14:paraId="0767753F" w14:textId="1AFA4AF6" w:rsidR="00BD0678" w:rsidRPr="008E241A" w:rsidRDefault="00A854D0" w:rsidP="0046463C">
            <w:pPr>
              <w:autoSpaceDE/>
              <w:autoSpaceDN/>
              <w:adjustRightInd/>
              <w:spacing w:after="0"/>
              <w:jc w:val="center"/>
              <w:rPr>
                <w:rFonts w:eastAsia="Times New Roman" w:cs="Arial"/>
                <w:b/>
                <w:bCs/>
                <w:lang w:eastAsia="en-GB"/>
              </w:rPr>
            </w:pPr>
            <w:r w:rsidRPr="008E241A">
              <w:rPr>
                <w:rFonts w:eastAsia="Times New Roman" w:cs="Arial"/>
                <w:b/>
                <w:bCs/>
                <w:lang w:eastAsia="en-GB"/>
              </w:rPr>
              <w:t>£m</w:t>
            </w:r>
          </w:p>
        </w:tc>
      </w:tr>
      <w:tr w:rsidR="006C72FB" w14:paraId="74A1B15A" w14:textId="77777777" w:rsidTr="008E241A">
        <w:trPr>
          <w:trHeight w:val="284"/>
        </w:trPr>
        <w:tc>
          <w:tcPr>
            <w:tcW w:w="25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283D52" w14:textId="77777777" w:rsidR="0072306E" w:rsidRPr="008E241A" w:rsidRDefault="00A854D0" w:rsidP="0072306E">
            <w:pPr>
              <w:autoSpaceDE/>
              <w:autoSpaceDN/>
              <w:adjustRightInd/>
              <w:spacing w:after="0"/>
              <w:rPr>
                <w:rFonts w:eastAsia="Times New Roman" w:cs="Arial"/>
                <w:lang w:eastAsia="en-GB"/>
              </w:rPr>
            </w:pPr>
            <w:r w:rsidRPr="008E241A">
              <w:rPr>
                <w:rFonts w:eastAsia="Times New Roman" w:cs="Arial"/>
                <w:lang w:eastAsia="en-GB"/>
              </w:rPr>
              <w:t>Adults Services</w:t>
            </w:r>
          </w:p>
        </w:tc>
        <w:tc>
          <w:tcPr>
            <w:tcW w:w="1286" w:type="dxa"/>
            <w:tcBorders>
              <w:top w:val="single" w:sz="8" w:space="0" w:color="auto"/>
              <w:left w:val="single" w:sz="4" w:space="0" w:color="auto"/>
              <w:bottom w:val="single" w:sz="8" w:space="0" w:color="auto"/>
              <w:right w:val="single" w:sz="8" w:space="0" w:color="auto"/>
            </w:tcBorders>
            <w:shd w:val="clear" w:color="auto" w:fill="auto"/>
            <w:noWrap/>
            <w:vAlign w:val="bottom"/>
          </w:tcPr>
          <w:p w14:paraId="1DC54D14" w14:textId="22E5AB4B" w:rsidR="0072306E" w:rsidRPr="0072306E" w:rsidRDefault="00A854D0" w:rsidP="0072306E">
            <w:pPr>
              <w:autoSpaceDE/>
              <w:autoSpaceDN/>
              <w:adjustRightInd/>
              <w:spacing w:after="0"/>
              <w:jc w:val="right"/>
              <w:rPr>
                <w:rFonts w:eastAsia="Times New Roman" w:cs="Arial"/>
                <w:highlight w:val="yellow"/>
                <w:lang w:eastAsia="en-GB"/>
              </w:rPr>
            </w:pPr>
            <w:r w:rsidRPr="008E241A">
              <w:rPr>
                <w:rFonts w:cs="Arial"/>
              </w:rPr>
              <w:t>24.567</w:t>
            </w:r>
          </w:p>
        </w:tc>
        <w:tc>
          <w:tcPr>
            <w:tcW w:w="128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52ACD63" w14:textId="5FE923F3" w:rsidR="0072306E" w:rsidRPr="0072306E" w:rsidRDefault="00A854D0" w:rsidP="0072306E">
            <w:pPr>
              <w:autoSpaceDE/>
              <w:autoSpaceDN/>
              <w:adjustRightInd/>
              <w:spacing w:after="0"/>
              <w:jc w:val="right"/>
              <w:rPr>
                <w:rFonts w:eastAsia="Times New Roman" w:cs="Arial"/>
                <w:highlight w:val="yellow"/>
                <w:lang w:eastAsia="en-GB"/>
              </w:rPr>
            </w:pPr>
            <w:r w:rsidRPr="008E241A">
              <w:rPr>
                <w:rFonts w:cs="Arial"/>
              </w:rPr>
              <w:t>23.285</w:t>
            </w:r>
          </w:p>
        </w:tc>
        <w:tc>
          <w:tcPr>
            <w:tcW w:w="128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160FA1" w14:textId="6FD01B78" w:rsidR="0072306E" w:rsidRPr="0072306E" w:rsidRDefault="00A854D0" w:rsidP="0072306E">
            <w:pPr>
              <w:autoSpaceDE/>
              <w:autoSpaceDN/>
              <w:adjustRightInd/>
              <w:spacing w:after="0"/>
              <w:jc w:val="right"/>
              <w:rPr>
                <w:rFonts w:eastAsia="Times New Roman" w:cs="Arial"/>
                <w:highlight w:val="yellow"/>
                <w:lang w:eastAsia="en-GB"/>
              </w:rPr>
            </w:pPr>
            <w:r w:rsidRPr="008E241A">
              <w:rPr>
                <w:rFonts w:cs="Arial"/>
              </w:rPr>
              <w:t>24.305</w:t>
            </w:r>
          </w:p>
        </w:tc>
        <w:tc>
          <w:tcPr>
            <w:tcW w:w="1286" w:type="dxa"/>
            <w:tcBorders>
              <w:top w:val="single" w:sz="8" w:space="0" w:color="auto"/>
              <w:left w:val="single" w:sz="8" w:space="0" w:color="auto"/>
              <w:bottom w:val="single" w:sz="8" w:space="0" w:color="auto"/>
              <w:right w:val="single" w:sz="8" w:space="0" w:color="auto"/>
            </w:tcBorders>
            <w:vAlign w:val="bottom"/>
          </w:tcPr>
          <w:p w14:paraId="5947BBF8" w14:textId="1A21CADC" w:rsidR="0072306E" w:rsidRPr="0072306E" w:rsidRDefault="00A854D0" w:rsidP="0072306E">
            <w:pPr>
              <w:autoSpaceDE/>
              <w:autoSpaceDN/>
              <w:adjustRightInd/>
              <w:spacing w:after="0"/>
              <w:jc w:val="right"/>
              <w:rPr>
                <w:rFonts w:eastAsia="Times New Roman" w:cs="Arial"/>
                <w:b/>
                <w:bCs/>
                <w:highlight w:val="yellow"/>
                <w:lang w:eastAsia="en-GB"/>
              </w:rPr>
            </w:pPr>
            <w:r w:rsidRPr="008E241A">
              <w:rPr>
                <w:rFonts w:cs="Arial"/>
              </w:rPr>
              <w:t>25.390</w:t>
            </w:r>
          </w:p>
        </w:tc>
        <w:tc>
          <w:tcPr>
            <w:tcW w:w="128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6263F6" w14:textId="1B63AF69" w:rsidR="0072306E" w:rsidRPr="008E241A" w:rsidRDefault="00A854D0" w:rsidP="0072306E">
            <w:pPr>
              <w:autoSpaceDE/>
              <w:autoSpaceDN/>
              <w:adjustRightInd/>
              <w:spacing w:after="0"/>
              <w:jc w:val="right"/>
              <w:rPr>
                <w:rFonts w:eastAsia="Times New Roman" w:cs="Arial"/>
                <w:b/>
                <w:bCs/>
                <w:lang w:eastAsia="en-GB"/>
              </w:rPr>
            </w:pPr>
            <w:r w:rsidRPr="008E241A">
              <w:rPr>
                <w:rFonts w:eastAsia="Times New Roman" w:cs="Arial"/>
                <w:b/>
                <w:bCs/>
                <w:lang w:eastAsia="en-GB"/>
              </w:rPr>
              <w:t>97.547</w:t>
            </w:r>
          </w:p>
        </w:tc>
      </w:tr>
      <w:tr w:rsidR="006C72FB" w14:paraId="5F64F21C" w14:textId="77777777" w:rsidTr="008E241A">
        <w:trPr>
          <w:trHeight w:val="284"/>
        </w:trPr>
        <w:tc>
          <w:tcPr>
            <w:tcW w:w="2585" w:type="dxa"/>
            <w:tcBorders>
              <w:top w:val="nil"/>
              <w:left w:val="single" w:sz="8" w:space="0" w:color="auto"/>
              <w:bottom w:val="single" w:sz="8" w:space="0" w:color="auto"/>
              <w:right w:val="single" w:sz="8" w:space="0" w:color="auto"/>
            </w:tcBorders>
            <w:shd w:val="clear" w:color="auto" w:fill="auto"/>
            <w:noWrap/>
            <w:vAlign w:val="center"/>
            <w:hideMark/>
          </w:tcPr>
          <w:p w14:paraId="7A1DB37E" w14:textId="77777777" w:rsidR="0072306E" w:rsidRPr="0072306E" w:rsidRDefault="00A854D0" w:rsidP="0072306E">
            <w:pPr>
              <w:autoSpaceDE/>
              <w:autoSpaceDN/>
              <w:adjustRightInd/>
              <w:spacing w:after="0"/>
              <w:rPr>
                <w:rFonts w:eastAsia="Times New Roman" w:cs="Arial"/>
                <w:lang w:eastAsia="en-GB"/>
              </w:rPr>
            </w:pPr>
            <w:r w:rsidRPr="0072306E">
              <w:rPr>
                <w:rFonts w:eastAsia="Times New Roman" w:cs="Arial"/>
                <w:lang w:eastAsia="en-GB"/>
              </w:rPr>
              <w:t>Children's Services</w:t>
            </w:r>
          </w:p>
        </w:tc>
        <w:tc>
          <w:tcPr>
            <w:tcW w:w="1286" w:type="dxa"/>
            <w:tcBorders>
              <w:top w:val="single" w:sz="8" w:space="0" w:color="auto"/>
              <w:left w:val="single" w:sz="4" w:space="0" w:color="auto"/>
              <w:bottom w:val="single" w:sz="8" w:space="0" w:color="auto"/>
              <w:right w:val="single" w:sz="8" w:space="0" w:color="auto"/>
            </w:tcBorders>
            <w:shd w:val="clear" w:color="auto" w:fill="auto"/>
            <w:noWrap/>
            <w:vAlign w:val="bottom"/>
          </w:tcPr>
          <w:p w14:paraId="607BD4E5" w14:textId="163DC260" w:rsidR="0072306E" w:rsidRPr="0072306E" w:rsidRDefault="00A854D0" w:rsidP="0072306E">
            <w:pPr>
              <w:autoSpaceDE/>
              <w:autoSpaceDN/>
              <w:adjustRightInd/>
              <w:spacing w:after="0"/>
              <w:jc w:val="right"/>
              <w:rPr>
                <w:rFonts w:eastAsia="Times New Roman" w:cs="Arial"/>
                <w:highlight w:val="yellow"/>
                <w:lang w:eastAsia="en-GB"/>
              </w:rPr>
            </w:pPr>
            <w:r w:rsidRPr="00546F35">
              <w:rPr>
                <w:rFonts w:cs="Arial"/>
              </w:rPr>
              <w:t>5.509</w:t>
            </w:r>
          </w:p>
        </w:tc>
        <w:tc>
          <w:tcPr>
            <w:tcW w:w="128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9A3333B" w14:textId="5A5687A8" w:rsidR="0072306E" w:rsidRPr="0072306E" w:rsidRDefault="00A854D0" w:rsidP="0072306E">
            <w:pPr>
              <w:autoSpaceDE/>
              <w:autoSpaceDN/>
              <w:adjustRightInd/>
              <w:spacing w:after="0"/>
              <w:jc w:val="right"/>
              <w:rPr>
                <w:rFonts w:eastAsia="Times New Roman" w:cs="Arial"/>
                <w:highlight w:val="yellow"/>
                <w:lang w:eastAsia="en-GB"/>
              </w:rPr>
            </w:pPr>
            <w:r w:rsidRPr="00546F35">
              <w:rPr>
                <w:rFonts w:cs="Arial"/>
              </w:rPr>
              <w:t>3.207</w:t>
            </w:r>
          </w:p>
        </w:tc>
        <w:tc>
          <w:tcPr>
            <w:tcW w:w="128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F11056" w14:textId="60392D8F" w:rsidR="0072306E" w:rsidRPr="0072306E" w:rsidRDefault="00A854D0" w:rsidP="0072306E">
            <w:pPr>
              <w:autoSpaceDE/>
              <w:autoSpaceDN/>
              <w:adjustRightInd/>
              <w:spacing w:after="0"/>
              <w:jc w:val="right"/>
              <w:rPr>
                <w:rFonts w:eastAsia="Times New Roman" w:cs="Arial"/>
                <w:highlight w:val="yellow"/>
                <w:lang w:eastAsia="en-GB"/>
              </w:rPr>
            </w:pPr>
            <w:r w:rsidRPr="00546F35">
              <w:rPr>
                <w:rFonts w:cs="Arial"/>
              </w:rPr>
              <w:t>2.896</w:t>
            </w:r>
          </w:p>
        </w:tc>
        <w:tc>
          <w:tcPr>
            <w:tcW w:w="1286" w:type="dxa"/>
            <w:tcBorders>
              <w:top w:val="single" w:sz="8" w:space="0" w:color="auto"/>
              <w:left w:val="single" w:sz="8" w:space="0" w:color="auto"/>
              <w:bottom w:val="single" w:sz="8" w:space="0" w:color="auto"/>
              <w:right w:val="single" w:sz="8" w:space="0" w:color="auto"/>
            </w:tcBorders>
            <w:vAlign w:val="bottom"/>
          </w:tcPr>
          <w:p w14:paraId="78C85055" w14:textId="02DBABD7" w:rsidR="0072306E" w:rsidRPr="0072306E" w:rsidRDefault="00A854D0" w:rsidP="0072306E">
            <w:pPr>
              <w:autoSpaceDE/>
              <w:autoSpaceDN/>
              <w:adjustRightInd/>
              <w:spacing w:after="0"/>
              <w:jc w:val="right"/>
              <w:rPr>
                <w:rFonts w:eastAsia="Times New Roman" w:cs="Arial"/>
                <w:b/>
                <w:bCs/>
                <w:highlight w:val="yellow"/>
                <w:lang w:eastAsia="en-GB"/>
              </w:rPr>
            </w:pPr>
            <w:r w:rsidRPr="00546F35">
              <w:rPr>
                <w:rFonts w:cs="Arial"/>
              </w:rPr>
              <w:t>2.984</w:t>
            </w:r>
          </w:p>
        </w:tc>
        <w:tc>
          <w:tcPr>
            <w:tcW w:w="128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0C8C08" w14:textId="4C445B30" w:rsidR="0072306E" w:rsidRPr="008E241A" w:rsidRDefault="00A854D0" w:rsidP="0072306E">
            <w:pPr>
              <w:autoSpaceDE/>
              <w:autoSpaceDN/>
              <w:adjustRightInd/>
              <w:spacing w:after="0"/>
              <w:jc w:val="right"/>
              <w:rPr>
                <w:rFonts w:eastAsia="Times New Roman" w:cs="Arial"/>
                <w:b/>
                <w:bCs/>
                <w:lang w:eastAsia="en-GB"/>
              </w:rPr>
            </w:pPr>
            <w:r w:rsidRPr="008E241A">
              <w:rPr>
                <w:rFonts w:eastAsia="Times New Roman" w:cs="Arial"/>
                <w:b/>
                <w:bCs/>
                <w:lang w:eastAsia="en-GB"/>
              </w:rPr>
              <w:t>14.596</w:t>
            </w:r>
          </w:p>
        </w:tc>
      </w:tr>
      <w:tr w:rsidR="006C72FB" w14:paraId="206F0FF8" w14:textId="77777777" w:rsidTr="008E241A">
        <w:trPr>
          <w:trHeight w:val="284"/>
        </w:trPr>
        <w:tc>
          <w:tcPr>
            <w:tcW w:w="2585" w:type="dxa"/>
            <w:tcBorders>
              <w:top w:val="nil"/>
              <w:left w:val="single" w:sz="8" w:space="0" w:color="auto"/>
              <w:bottom w:val="single" w:sz="8" w:space="0" w:color="auto"/>
              <w:right w:val="single" w:sz="8" w:space="0" w:color="auto"/>
            </w:tcBorders>
            <w:shd w:val="clear" w:color="auto" w:fill="auto"/>
            <w:noWrap/>
            <w:vAlign w:val="center"/>
            <w:hideMark/>
          </w:tcPr>
          <w:p w14:paraId="3EA908E5" w14:textId="77777777" w:rsidR="0072306E" w:rsidRPr="0072306E" w:rsidRDefault="00A854D0" w:rsidP="0072306E">
            <w:pPr>
              <w:autoSpaceDE/>
              <w:autoSpaceDN/>
              <w:adjustRightInd/>
              <w:spacing w:after="0"/>
              <w:rPr>
                <w:rFonts w:eastAsia="Times New Roman" w:cs="Arial"/>
                <w:lang w:eastAsia="en-GB"/>
              </w:rPr>
            </w:pPr>
            <w:r w:rsidRPr="0072306E">
              <w:rPr>
                <w:rFonts w:eastAsia="Times New Roman" w:cs="Arial"/>
                <w:lang w:eastAsia="en-GB"/>
              </w:rPr>
              <w:t>Waste Services</w:t>
            </w:r>
          </w:p>
        </w:tc>
        <w:tc>
          <w:tcPr>
            <w:tcW w:w="1286" w:type="dxa"/>
            <w:tcBorders>
              <w:top w:val="single" w:sz="8" w:space="0" w:color="auto"/>
              <w:left w:val="single" w:sz="4" w:space="0" w:color="auto"/>
              <w:bottom w:val="single" w:sz="8" w:space="0" w:color="auto"/>
              <w:right w:val="single" w:sz="8" w:space="0" w:color="auto"/>
            </w:tcBorders>
            <w:shd w:val="clear" w:color="auto" w:fill="auto"/>
            <w:noWrap/>
            <w:vAlign w:val="bottom"/>
          </w:tcPr>
          <w:p w14:paraId="75C7022B" w14:textId="7AFEAE29" w:rsidR="0072306E" w:rsidRPr="0072306E" w:rsidRDefault="00A854D0" w:rsidP="0072306E">
            <w:pPr>
              <w:autoSpaceDE/>
              <w:autoSpaceDN/>
              <w:adjustRightInd/>
              <w:spacing w:after="0"/>
              <w:jc w:val="right"/>
              <w:rPr>
                <w:rFonts w:eastAsia="Times New Roman" w:cs="Arial"/>
                <w:highlight w:val="yellow"/>
                <w:lang w:eastAsia="en-GB"/>
              </w:rPr>
            </w:pPr>
            <w:r w:rsidRPr="00546F35">
              <w:rPr>
                <w:rFonts w:cs="Arial"/>
              </w:rPr>
              <w:t>3.967</w:t>
            </w:r>
          </w:p>
        </w:tc>
        <w:tc>
          <w:tcPr>
            <w:tcW w:w="128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EAB28AD" w14:textId="176C62D1" w:rsidR="0072306E" w:rsidRPr="0072306E" w:rsidRDefault="00A854D0" w:rsidP="0072306E">
            <w:pPr>
              <w:autoSpaceDE/>
              <w:autoSpaceDN/>
              <w:adjustRightInd/>
              <w:spacing w:after="0"/>
              <w:jc w:val="right"/>
              <w:rPr>
                <w:rFonts w:eastAsia="Times New Roman" w:cs="Arial"/>
                <w:highlight w:val="yellow"/>
                <w:lang w:eastAsia="en-GB"/>
              </w:rPr>
            </w:pPr>
            <w:r w:rsidRPr="00546F35">
              <w:rPr>
                <w:rFonts w:cs="Arial"/>
              </w:rPr>
              <w:t>2.818</w:t>
            </w:r>
          </w:p>
        </w:tc>
        <w:tc>
          <w:tcPr>
            <w:tcW w:w="128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74454D5" w14:textId="3417B296" w:rsidR="0072306E" w:rsidRPr="0072306E" w:rsidRDefault="00A854D0" w:rsidP="0072306E">
            <w:pPr>
              <w:autoSpaceDE/>
              <w:autoSpaceDN/>
              <w:adjustRightInd/>
              <w:spacing w:after="0"/>
              <w:jc w:val="right"/>
              <w:rPr>
                <w:rFonts w:eastAsia="Times New Roman" w:cs="Arial"/>
                <w:highlight w:val="yellow"/>
                <w:lang w:eastAsia="en-GB"/>
              </w:rPr>
            </w:pPr>
            <w:r w:rsidRPr="00546F35">
              <w:rPr>
                <w:rFonts w:cs="Arial"/>
              </w:rPr>
              <w:t>2.450</w:t>
            </w:r>
          </w:p>
        </w:tc>
        <w:tc>
          <w:tcPr>
            <w:tcW w:w="1286" w:type="dxa"/>
            <w:tcBorders>
              <w:top w:val="single" w:sz="8" w:space="0" w:color="auto"/>
              <w:left w:val="single" w:sz="8" w:space="0" w:color="auto"/>
              <w:bottom w:val="single" w:sz="8" w:space="0" w:color="auto"/>
              <w:right w:val="single" w:sz="8" w:space="0" w:color="auto"/>
            </w:tcBorders>
            <w:vAlign w:val="bottom"/>
          </w:tcPr>
          <w:p w14:paraId="41B3E4BA" w14:textId="66088B1F" w:rsidR="0072306E" w:rsidRPr="0072306E" w:rsidRDefault="00A854D0" w:rsidP="0072306E">
            <w:pPr>
              <w:autoSpaceDE/>
              <w:autoSpaceDN/>
              <w:adjustRightInd/>
              <w:spacing w:after="0"/>
              <w:jc w:val="right"/>
              <w:rPr>
                <w:rFonts w:eastAsia="Times New Roman" w:cs="Arial"/>
                <w:b/>
                <w:bCs/>
                <w:highlight w:val="yellow"/>
                <w:lang w:eastAsia="en-GB"/>
              </w:rPr>
            </w:pPr>
            <w:r w:rsidRPr="00546F35">
              <w:rPr>
                <w:rFonts w:cs="Arial"/>
              </w:rPr>
              <w:t>2.450</w:t>
            </w:r>
          </w:p>
        </w:tc>
        <w:tc>
          <w:tcPr>
            <w:tcW w:w="128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773D14" w14:textId="3CB85DD7" w:rsidR="0072306E" w:rsidRPr="008E241A" w:rsidRDefault="00A854D0" w:rsidP="0072306E">
            <w:pPr>
              <w:autoSpaceDE/>
              <w:autoSpaceDN/>
              <w:adjustRightInd/>
              <w:spacing w:after="0"/>
              <w:jc w:val="right"/>
              <w:rPr>
                <w:rFonts w:eastAsia="Times New Roman" w:cs="Arial"/>
                <w:b/>
                <w:bCs/>
                <w:lang w:eastAsia="en-GB"/>
              </w:rPr>
            </w:pPr>
            <w:r w:rsidRPr="008E241A">
              <w:rPr>
                <w:rFonts w:eastAsia="Times New Roman" w:cs="Arial"/>
                <w:b/>
                <w:bCs/>
                <w:lang w:eastAsia="en-GB"/>
              </w:rPr>
              <w:t>11.685</w:t>
            </w:r>
          </w:p>
        </w:tc>
      </w:tr>
      <w:tr w:rsidR="006C72FB" w14:paraId="16660976" w14:textId="77777777" w:rsidTr="008E241A">
        <w:trPr>
          <w:trHeight w:val="284"/>
        </w:trPr>
        <w:tc>
          <w:tcPr>
            <w:tcW w:w="2585" w:type="dxa"/>
            <w:tcBorders>
              <w:top w:val="nil"/>
              <w:left w:val="single" w:sz="8" w:space="0" w:color="auto"/>
              <w:bottom w:val="single" w:sz="8" w:space="0" w:color="auto"/>
              <w:right w:val="single" w:sz="8" w:space="0" w:color="auto"/>
            </w:tcBorders>
            <w:shd w:val="clear" w:color="auto" w:fill="auto"/>
            <w:noWrap/>
            <w:vAlign w:val="center"/>
            <w:hideMark/>
          </w:tcPr>
          <w:p w14:paraId="5FC45F8E" w14:textId="77777777" w:rsidR="0072306E" w:rsidRPr="000E75BE" w:rsidRDefault="00A854D0" w:rsidP="0072306E">
            <w:pPr>
              <w:autoSpaceDE/>
              <w:autoSpaceDN/>
              <w:adjustRightInd/>
              <w:spacing w:after="0"/>
              <w:rPr>
                <w:rFonts w:eastAsia="Times New Roman" w:cs="Arial"/>
                <w:lang w:eastAsia="en-GB"/>
              </w:rPr>
            </w:pPr>
            <w:r w:rsidRPr="000E75BE">
              <w:rPr>
                <w:rFonts w:eastAsia="Times New Roman" w:cs="Arial"/>
                <w:lang w:eastAsia="en-GB"/>
              </w:rPr>
              <w:t>Transport Services</w:t>
            </w:r>
          </w:p>
        </w:tc>
        <w:tc>
          <w:tcPr>
            <w:tcW w:w="1286" w:type="dxa"/>
            <w:tcBorders>
              <w:top w:val="single" w:sz="8" w:space="0" w:color="auto"/>
              <w:left w:val="single" w:sz="4" w:space="0" w:color="auto"/>
              <w:bottom w:val="single" w:sz="8" w:space="0" w:color="auto"/>
              <w:right w:val="single" w:sz="8" w:space="0" w:color="auto"/>
            </w:tcBorders>
            <w:shd w:val="clear" w:color="auto" w:fill="auto"/>
            <w:noWrap/>
            <w:vAlign w:val="bottom"/>
          </w:tcPr>
          <w:p w14:paraId="0B92A8D9" w14:textId="3B71AC6B" w:rsidR="0072306E" w:rsidRPr="0072306E" w:rsidRDefault="00A854D0" w:rsidP="0072306E">
            <w:pPr>
              <w:autoSpaceDE/>
              <w:autoSpaceDN/>
              <w:adjustRightInd/>
              <w:spacing w:after="0"/>
              <w:jc w:val="right"/>
              <w:rPr>
                <w:rFonts w:eastAsia="Times New Roman" w:cs="Arial"/>
                <w:highlight w:val="yellow"/>
                <w:lang w:eastAsia="en-GB"/>
              </w:rPr>
            </w:pPr>
            <w:r w:rsidRPr="00546F35">
              <w:rPr>
                <w:rFonts w:cs="Arial"/>
              </w:rPr>
              <w:t>3.557</w:t>
            </w:r>
          </w:p>
        </w:tc>
        <w:tc>
          <w:tcPr>
            <w:tcW w:w="128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6453A4" w14:textId="12F0599E" w:rsidR="0072306E" w:rsidRPr="0072306E" w:rsidRDefault="00A854D0" w:rsidP="0072306E">
            <w:pPr>
              <w:autoSpaceDE/>
              <w:autoSpaceDN/>
              <w:adjustRightInd/>
              <w:spacing w:after="0"/>
              <w:jc w:val="right"/>
              <w:rPr>
                <w:rFonts w:eastAsia="Times New Roman" w:cs="Arial"/>
                <w:highlight w:val="yellow"/>
                <w:lang w:eastAsia="en-GB"/>
              </w:rPr>
            </w:pPr>
            <w:r w:rsidRPr="00546F35">
              <w:rPr>
                <w:rFonts w:cs="Arial"/>
              </w:rPr>
              <w:t>1.774</w:t>
            </w:r>
          </w:p>
        </w:tc>
        <w:tc>
          <w:tcPr>
            <w:tcW w:w="128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7E98701" w14:textId="29AAC696" w:rsidR="0072306E" w:rsidRPr="0072306E" w:rsidRDefault="00A854D0" w:rsidP="0072306E">
            <w:pPr>
              <w:autoSpaceDE/>
              <w:autoSpaceDN/>
              <w:adjustRightInd/>
              <w:spacing w:after="0"/>
              <w:jc w:val="right"/>
              <w:rPr>
                <w:rFonts w:eastAsia="Times New Roman" w:cs="Arial"/>
                <w:highlight w:val="yellow"/>
                <w:lang w:eastAsia="en-GB"/>
              </w:rPr>
            </w:pPr>
            <w:r w:rsidRPr="00546F35">
              <w:rPr>
                <w:rFonts w:cs="Arial"/>
              </w:rPr>
              <w:t>1.653</w:t>
            </w:r>
          </w:p>
        </w:tc>
        <w:tc>
          <w:tcPr>
            <w:tcW w:w="1286" w:type="dxa"/>
            <w:tcBorders>
              <w:top w:val="single" w:sz="8" w:space="0" w:color="auto"/>
              <w:left w:val="single" w:sz="8" w:space="0" w:color="auto"/>
              <w:bottom w:val="single" w:sz="8" w:space="0" w:color="auto"/>
              <w:right w:val="single" w:sz="8" w:space="0" w:color="auto"/>
            </w:tcBorders>
            <w:vAlign w:val="bottom"/>
          </w:tcPr>
          <w:p w14:paraId="33B8BB47" w14:textId="5F68F393" w:rsidR="0072306E" w:rsidRPr="0072306E" w:rsidRDefault="00A854D0" w:rsidP="0072306E">
            <w:pPr>
              <w:autoSpaceDE/>
              <w:autoSpaceDN/>
              <w:adjustRightInd/>
              <w:spacing w:after="0"/>
              <w:jc w:val="right"/>
              <w:rPr>
                <w:rFonts w:eastAsia="Times New Roman" w:cs="Arial"/>
                <w:b/>
                <w:bCs/>
                <w:highlight w:val="yellow"/>
                <w:lang w:eastAsia="en-GB"/>
              </w:rPr>
            </w:pPr>
            <w:r w:rsidRPr="00546F35">
              <w:rPr>
                <w:rFonts w:cs="Arial"/>
              </w:rPr>
              <w:t>1.718</w:t>
            </w:r>
          </w:p>
        </w:tc>
        <w:tc>
          <w:tcPr>
            <w:tcW w:w="128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ED15B2" w14:textId="7842C99A" w:rsidR="0072306E" w:rsidRPr="008E241A" w:rsidRDefault="00A854D0" w:rsidP="0072306E">
            <w:pPr>
              <w:autoSpaceDE/>
              <w:autoSpaceDN/>
              <w:adjustRightInd/>
              <w:spacing w:after="0"/>
              <w:jc w:val="right"/>
              <w:rPr>
                <w:rFonts w:eastAsia="Times New Roman" w:cs="Arial"/>
                <w:b/>
                <w:bCs/>
                <w:lang w:eastAsia="en-GB"/>
              </w:rPr>
            </w:pPr>
            <w:r w:rsidRPr="008E241A">
              <w:rPr>
                <w:rFonts w:eastAsia="Times New Roman" w:cs="Arial"/>
                <w:b/>
                <w:bCs/>
                <w:lang w:eastAsia="en-GB"/>
              </w:rPr>
              <w:t>8.702</w:t>
            </w:r>
          </w:p>
        </w:tc>
      </w:tr>
      <w:tr w:rsidR="006C72FB" w14:paraId="6269B5E7" w14:textId="77777777" w:rsidTr="008E241A">
        <w:trPr>
          <w:trHeight w:val="284"/>
        </w:trPr>
        <w:tc>
          <w:tcPr>
            <w:tcW w:w="2585" w:type="dxa"/>
            <w:tcBorders>
              <w:top w:val="nil"/>
              <w:left w:val="single" w:sz="8" w:space="0" w:color="auto"/>
              <w:bottom w:val="single" w:sz="8" w:space="0" w:color="auto"/>
              <w:right w:val="single" w:sz="8" w:space="0" w:color="auto"/>
            </w:tcBorders>
            <w:shd w:val="clear" w:color="auto" w:fill="auto"/>
            <w:noWrap/>
            <w:vAlign w:val="center"/>
            <w:hideMark/>
          </w:tcPr>
          <w:p w14:paraId="6385A565" w14:textId="77777777" w:rsidR="0072306E" w:rsidRPr="000E75BE" w:rsidRDefault="00A854D0" w:rsidP="0072306E">
            <w:pPr>
              <w:autoSpaceDE/>
              <w:autoSpaceDN/>
              <w:adjustRightInd/>
              <w:spacing w:after="0"/>
              <w:rPr>
                <w:rFonts w:eastAsia="Times New Roman" w:cs="Arial"/>
                <w:lang w:eastAsia="en-GB"/>
              </w:rPr>
            </w:pPr>
            <w:r w:rsidRPr="000E75BE">
              <w:rPr>
                <w:rFonts w:eastAsia="Times New Roman" w:cs="Arial"/>
                <w:lang w:eastAsia="en-GB"/>
              </w:rPr>
              <w:t>Other Services</w:t>
            </w:r>
          </w:p>
        </w:tc>
        <w:tc>
          <w:tcPr>
            <w:tcW w:w="1286" w:type="dxa"/>
            <w:tcBorders>
              <w:top w:val="single" w:sz="8" w:space="0" w:color="auto"/>
              <w:left w:val="single" w:sz="4" w:space="0" w:color="auto"/>
              <w:bottom w:val="single" w:sz="8" w:space="0" w:color="auto"/>
              <w:right w:val="single" w:sz="8" w:space="0" w:color="auto"/>
            </w:tcBorders>
            <w:shd w:val="clear" w:color="auto" w:fill="auto"/>
            <w:noWrap/>
            <w:vAlign w:val="bottom"/>
          </w:tcPr>
          <w:p w14:paraId="1926F001" w14:textId="5B196B8C" w:rsidR="0072306E" w:rsidRPr="0072306E" w:rsidRDefault="00A854D0" w:rsidP="0072306E">
            <w:pPr>
              <w:autoSpaceDE/>
              <w:autoSpaceDN/>
              <w:adjustRightInd/>
              <w:spacing w:after="0"/>
              <w:jc w:val="right"/>
              <w:rPr>
                <w:rFonts w:eastAsia="Times New Roman" w:cs="Arial"/>
                <w:highlight w:val="yellow"/>
                <w:lang w:eastAsia="en-GB"/>
              </w:rPr>
            </w:pPr>
            <w:r w:rsidRPr="00546F35">
              <w:rPr>
                <w:rFonts w:cs="Arial"/>
              </w:rPr>
              <w:t>6.148</w:t>
            </w:r>
          </w:p>
        </w:tc>
        <w:tc>
          <w:tcPr>
            <w:tcW w:w="128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5D227D0" w14:textId="4A018269" w:rsidR="0072306E" w:rsidRPr="0072306E" w:rsidRDefault="00A854D0" w:rsidP="0072306E">
            <w:pPr>
              <w:autoSpaceDE/>
              <w:autoSpaceDN/>
              <w:adjustRightInd/>
              <w:spacing w:after="0"/>
              <w:jc w:val="right"/>
              <w:rPr>
                <w:rFonts w:eastAsia="Times New Roman" w:cs="Arial"/>
                <w:highlight w:val="yellow"/>
                <w:lang w:eastAsia="en-GB"/>
              </w:rPr>
            </w:pPr>
            <w:r>
              <w:rPr>
                <w:rFonts w:cs="Arial"/>
              </w:rPr>
              <w:t>-2.218</w:t>
            </w:r>
          </w:p>
        </w:tc>
        <w:tc>
          <w:tcPr>
            <w:tcW w:w="128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A4E1B0B" w14:textId="36F4D5B7" w:rsidR="0072306E" w:rsidRPr="0072306E" w:rsidRDefault="00A854D0" w:rsidP="0072306E">
            <w:pPr>
              <w:autoSpaceDE/>
              <w:autoSpaceDN/>
              <w:adjustRightInd/>
              <w:spacing w:after="0"/>
              <w:jc w:val="right"/>
              <w:rPr>
                <w:rFonts w:eastAsia="Times New Roman" w:cs="Arial"/>
                <w:highlight w:val="yellow"/>
                <w:lang w:eastAsia="en-GB"/>
              </w:rPr>
            </w:pPr>
            <w:r>
              <w:rPr>
                <w:rFonts w:cs="Arial"/>
              </w:rPr>
              <w:t>2.137</w:t>
            </w:r>
          </w:p>
        </w:tc>
        <w:tc>
          <w:tcPr>
            <w:tcW w:w="1286" w:type="dxa"/>
            <w:tcBorders>
              <w:top w:val="single" w:sz="8" w:space="0" w:color="auto"/>
              <w:left w:val="single" w:sz="8" w:space="0" w:color="auto"/>
              <w:bottom w:val="single" w:sz="8" w:space="0" w:color="auto"/>
              <w:right w:val="single" w:sz="8" w:space="0" w:color="auto"/>
            </w:tcBorders>
            <w:vAlign w:val="bottom"/>
          </w:tcPr>
          <w:p w14:paraId="743CFD8C" w14:textId="69B7AE49" w:rsidR="0072306E" w:rsidRPr="0072306E" w:rsidRDefault="00A854D0" w:rsidP="0072306E">
            <w:pPr>
              <w:autoSpaceDE/>
              <w:autoSpaceDN/>
              <w:adjustRightInd/>
              <w:spacing w:after="0"/>
              <w:jc w:val="right"/>
              <w:rPr>
                <w:rFonts w:eastAsia="Times New Roman" w:cs="Arial"/>
                <w:b/>
                <w:bCs/>
                <w:highlight w:val="yellow"/>
                <w:lang w:eastAsia="en-GB"/>
              </w:rPr>
            </w:pPr>
            <w:r>
              <w:rPr>
                <w:rFonts w:cs="Arial"/>
              </w:rPr>
              <w:t>2.022</w:t>
            </w:r>
          </w:p>
        </w:tc>
        <w:tc>
          <w:tcPr>
            <w:tcW w:w="128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17075F2" w14:textId="46A61A6F" w:rsidR="0072306E" w:rsidRPr="008E241A" w:rsidRDefault="00A854D0" w:rsidP="0072306E">
            <w:pPr>
              <w:autoSpaceDE/>
              <w:autoSpaceDN/>
              <w:adjustRightInd/>
              <w:spacing w:after="0"/>
              <w:jc w:val="right"/>
              <w:rPr>
                <w:rFonts w:eastAsia="Times New Roman" w:cs="Arial"/>
                <w:b/>
                <w:bCs/>
                <w:lang w:eastAsia="en-GB"/>
              </w:rPr>
            </w:pPr>
            <w:r>
              <w:rPr>
                <w:rFonts w:eastAsia="Times New Roman" w:cs="Arial"/>
                <w:b/>
                <w:bCs/>
                <w:lang w:eastAsia="en-GB"/>
              </w:rPr>
              <w:t>8.089</w:t>
            </w:r>
          </w:p>
        </w:tc>
      </w:tr>
      <w:tr w:rsidR="006C72FB" w14:paraId="6F7148D1" w14:textId="77777777" w:rsidTr="008E241A">
        <w:trPr>
          <w:trHeight w:val="284"/>
        </w:trPr>
        <w:tc>
          <w:tcPr>
            <w:tcW w:w="2585" w:type="dxa"/>
            <w:tcBorders>
              <w:top w:val="nil"/>
              <w:left w:val="single" w:sz="8" w:space="0" w:color="auto"/>
              <w:bottom w:val="single" w:sz="8" w:space="0" w:color="auto"/>
              <w:right w:val="single" w:sz="8" w:space="0" w:color="auto"/>
            </w:tcBorders>
            <w:shd w:val="clear" w:color="auto" w:fill="auto"/>
            <w:noWrap/>
            <w:vAlign w:val="center"/>
            <w:hideMark/>
          </w:tcPr>
          <w:p w14:paraId="0C745BD4" w14:textId="77777777" w:rsidR="0072306E" w:rsidRPr="000E75BE" w:rsidRDefault="00A854D0" w:rsidP="0072306E">
            <w:pPr>
              <w:autoSpaceDE/>
              <w:autoSpaceDN/>
              <w:adjustRightInd/>
              <w:spacing w:after="0"/>
              <w:jc w:val="left"/>
              <w:rPr>
                <w:rFonts w:eastAsia="Times New Roman" w:cs="Arial"/>
                <w:b/>
                <w:bCs/>
                <w:lang w:eastAsia="en-GB"/>
              </w:rPr>
            </w:pPr>
            <w:r w:rsidRPr="000E75BE">
              <w:rPr>
                <w:rFonts w:eastAsia="Times New Roman" w:cs="Arial"/>
                <w:b/>
                <w:bCs/>
                <w:lang w:eastAsia="en-GB"/>
              </w:rPr>
              <w:t>Revised price inflation requirements</w:t>
            </w:r>
          </w:p>
        </w:tc>
        <w:tc>
          <w:tcPr>
            <w:tcW w:w="1286"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6F37F9F" w14:textId="462FEAB8" w:rsidR="0072306E" w:rsidRPr="0072306E" w:rsidRDefault="00A854D0" w:rsidP="008E241A">
            <w:pPr>
              <w:autoSpaceDE/>
              <w:autoSpaceDN/>
              <w:adjustRightInd/>
              <w:spacing w:after="0"/>
              <w:jc w:val="right"/>
              <w:rPr>
                <w:rFonts w:eastAsia="Times New Roman" w:cs="Arial"/>
                <w:b/>
                <w:bCs/>
                <w:highlight w:val="yellow"/>
                <w:lang w:eastAsia="en-GB"/>
              </w:rPr>
            </w:pPr>
            <w:r w:rsidRPr="008E241A">
              <w:rPr>
                <w:rFonts w:cs="Arial"/>
                <w:b/>
                <w:bCs/>
              </w:rPr>
              <w:t>43.748</w:t>
            </w:r>
          </w:p>
        </w:tc>
        <w:tc>
          <w:tcPr>
            <w:tcW w:w="12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73EC07" w14:textId="6D50EE16" w:rsidR="0072306E" w:rsidRPr="0072306E" w:rsidRDefault="00A854D0" w:rsidP="008E241A">
            <w:pPr>
              <w:autoSpaceDE/>
              <w:autoSpaceDN/>
              <w:adjustRightInd/>
              <w:spacing w:after="0"/>
              <w:jc w:val="right"/>
              <w:rPr>
                <w:rFonts w:eastAsia="Times New Roman" w:cs="Arial"/>
                <w:b/>
                <w:bCs/>
                <w:highlight w:val="yellow"/>
                <w:lang w:eastAsia="en-GB"/>
              </w:rPr>
            </w:pPr>
            <w:r>
              <w:rPr>
                <w:rFonts w:cs="Arial"/>
                <w:b/>
                <w:bCs/>
              </w:rPr>
              <w:t>28.866</w:t>
            </w:r>
          </w:p>
        </w:tc>
        <w:tc>
          <w:tcPr>
            <w:tcW w:w="12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328649" w14:textId="54CAB30F" w:rsidR="0072306E" w:rsidRPr="0072306E" w:rsidRDefault="00A854D0" w:rsidP="008E241A">
            <w:pPr>
              <w:autoSpaceDE/>
              <w:autoSpaceDN/>
              <w:adjustRightInd/>
              <w:spacing w:after="0"/>
              <w:jc w:val="right"/>
              <w:rPr>
                <w:rFonts w:eastAsia="Times New Roman" w:cs="Arial"/>
                <w:b/>
                <w:bCs/>
                <w:highlight w:val="yellow"/>
                <w:lang w:eastAsia="en-GB"/>
              </w:rPr>
            </w:pPr>
            <w:r>
              <w:rPr>
                <w:rFonts w:cs="Arial"/>
                <w:b/>
                <w:bCs/>
              </w:rPr>
              <w:t>33.441</w:t>
            </w:r>
          </w:p>
        </w:tc>
        <w:tc>
          <w:tcPr>
            <w:tcW w:w="1286" w:type="dxa"/>
            <w:tcBorders>
              <w:top w:val="single" w:sz="8" w:space="0" w:color="auto"/>
              <w:left w:val="single" w:sz="8" w:space="0" w:color="auto"/>
              <w:bottom w:val="single" w:sz="8" w:space="0" w:color="auto"/>
              <w:right w:val="single" w:sz="8" w:space="0" w:color="auto"/>
            </w:tcBorders>
            <w:vAlign w:val="center"/>
          </w:tcPr>
          <w:p w14:paraId="37325F37" w14:textId="7F442408" w:rsidR="0072306E" w:rsidRPr="0072306E" w:rsidRDefault="00A854D0" w:rsidP="008E241A">
            <w:pPr>
              <w:autoSpaceDE/>
              <w:autoSpaceDN/>
              <w:adjustRightInd/>
              <w:spacing w:after="0"/>
              <w:jc w:val="right"/>
              <w:rPr>
                <w:rFonts w:eastAsia="Times New Roman" w:cs="Arial"/>
                <w:b/>
                <w:bCs/>
                <w:highlight w:val="yellow"/>
                <w:lang w:eastAsia="en-GB"/>
              </w:rPr>
            </w:pPr>
            <w:r>
              <w:rPr>
                <w:rFonts w:cs="Arial"/>
                <w:b/>
                <w:bCs/>
              </w:rPr>
              <w:t>34.564</w:t>
            </w:r>
          </w:p>
        </w:tc>
        <w:tc>
          <w:tcPr>
            <w:tcW w:w="128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566BC5" w14:textId="74274216" w:rsidR="0072306E" w:rsidRPr="008E241A" w:rsidRDefault="00A854D0" w:rsidP="0072306E">
            <w:pPr>
              <w:autoSpaceDE/>
              <w:autoSpaceDN/>
              <w:adjustRightInd/>
              <w:spacing w:after="0"/>
              <w:jc w:val="right"/>
              <w:rPr>
                <w:rFonts w:eastAsia="Times New Roman" w:cs="Arial"/>
                <w:b/>
                <w:bCs/>
                <w:lang w:eastAsia="en-GB"/>
              </w:rPr>
            </w:pPr>
            <w:r>
              <w:rPr>
                <w:rFonts w:eastAsia="Times New Roman" w:cs="Arial"/>
                <w:b/>
                <w:bCs/>
                <w:lang w:eastAsia="en-GB"/>
              </w:rPr>
              <w:t>140.619</w:t>
            </w:r>
          </w:p>
        </w:tc>
      </w:tr>
      <w:tr w:rsidR="006C72FB" w14:paraId="3783CD64" w14:textId="77777777" w:rsidTr="008E241A">
        <w:trPr>
          <w:trHeight w:val="284"/>
        </w:trPr>
        <w:tc>
          <w:tcPr>
            <w:tcW w:w="2585" w:type="dxa"/>
            <w:tcBorders>
              <w:top w:val="nil"/>
              <w:left w:val="single" w:sz="8" w:space="0" w:color="auto"/>
              <w:bottom w:val="single" w:sz="8" w:space="0" w:color="auto"/>
              <w:right w:val="single" w:sz="8" w:space="0" w:color="auto"/>
            </w:tcBorders>
            <w:shd w:val="clear" w:color="auto" w:fill="auto"/>
            <w:noWrap/>
            <w:vAlign w:val="center"/>
            <w:hideMark/>
          </w:tcPr>
          <w:p w14:paraId="68037B7A" w14:textId="77777777" w:rsidR="00BD0678" w:rsidRPr="00D30CF4" w:rsidRDefault="00A854D0" w:rsidP="0046463C">
            <w:pPr>
              <w:autoSpaceDE/>
              <w:autoSpaceDN/>
              <w:adjustRightInd/>
              <w:spacing w:after="0"/>
              <w:rPr>
                <w:rFonts w:eastAsia="Times New Roman" w:cs="Arial"/>
                <w:lang w:eastAsia="en-GB"/>
              </w:rPr>
            </w:pPr>
            <w:r w:rsidRPr="00D30CF4">
              <w:rPr>
                <w:rFonts w:eastAsia="Times New Roman" w:cs="Arial"/>
                <w:lang w:eastAsia="en-GB"/>
              </w:rPr>
              <w:t> </w:t>
            </w:r>
          </w:p>
        </w:tc>
        <w:tc>
          <w:tcPr>
            <w:tcW w:w="1286" w:type="dxa"/>
            <w:tcBorders>
              <w:top w:val="single" w:sz="8" w:space="0" w:color="auto"/>
              <w:left w:val="nil"/>
              <w:bottom w:val="single" w:sz="8" w:space="0" w:color="auto"/>
              <w:right w:val="single" w:sz="8" w:space="0" w:color="auto"/>
            </w:tcBorders>
            <w:shd w:val="clear" w:color="auto" w:fill="auto"/>
            <w:noWrap/>
            <w:vAlign w:val="center"/>
          </w:tcPr>
          <w:p w14:paraId="68A4D368" w14:textId="3404A9F2" w:rsidR="00BD0678" w:rsidRPr="00D30CF4" w:rsidRDefault="00BD0678" w:rsidP="0046463C">
            <w:pPr>
              <w:autoSpaceDE/>
              <w:autoSpaceDN/>
              <w:adjustRightInd/>
              <w:spacing w:after="0"/>
              <w:jc w:val="right"/>
              <w:rPr>
                <w:rFonts w:eastAsia="Times New Roman" w:cs="Arial"/>
                <w:lang w:eastAsia="en-GB"/>
              </w:rPr>
            </w:pPr>
          </w:p>
        </w:tc>
        <w:tc>
          <w:tcPr>
            <w:tcW w:w="12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4F1FB1" w14:textId="45F3C621" w:rsidR="00BD0678" w:rsidRPr="00D30CF4" w:rsidRDefault="00BD0678" w:rsidP="0046463C">
            <w:pPr>
              <w:autoSpaceDE/>
              <w:autoSpaceDN/>
              <w:adjustRightInd/>
              <w:spacing w:after="0"/>
              <w:jc w:val="right"/>
              <w:rPr>
                <w:rFonts w:eastAsia="Times New Roman" w:cs="Arial"/>
                <w:b/>
                <w:bCs/>
                <w:lang w:eastAsia="en-GB"/>
              </w:rPr>
            </w:pPr>
          </w:p>
        </w:tc>
        <w:tc>
          <w:tcPr>
            <w:tcW w:w="12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7F73C8" w14:textId="6E2614AB" w:rsidR="00BD0678" w:rsidRPr="00D30CF4" w:rsidRDefault="00BD0678" w:rsidP="0046463C">
            <w:pPr>
              <w:autoSpaceDE/>
              <w:autoSpaceDN/>
              <w:adjustRightInd/>
              <w:spacing w:after="0"/>
              <w:jc w:val="right"/>
              <w:rPr>
                <w:rFonts w:eastAsia="Times New Roman" w:cs="Arial"/>
                <w:lang w:eastAsia="en-GB"/>
              </w:rPr>
            </w:pPr>
          </w:p>
        </w:tc>
        <w:tc>
          <w:tcPr>
            <w:tcW w:w="1286" w:type="dxa"/>
            <w:tcBorders>
              <w:top w:val="single" w:sz="8" w:space="0" w:color="auto"/>
              <w:left w:val="single" w:sz="8" w:space="0" w:color="auto"/>
              <w:bottom w:val="single" w:sz="8" w:space="0" w:color="auto"/>
              <w:right w:val="single" w:sz="8" w:space="0" w:color="auto"/>
            </w:tcBorders>
          </w:tcPr>
          <w:p w14:paraId="060119F3" w14:textId="77777777" w:rsidR="00BD0678" w:rsidRPr="00D30CF4" w:rsidRDefault="00BD0678" w:rsidP="0046463C">
            <w:pPr>
              <w:autoSpaceDE/>
              <w:autoSpaceDN/>
              <w:adjustRightInd/>
              <w:spacing w:after="0"/>
              <w:jc w:val="right"/>
              <w:rPr>
                <w:rFonts w:eastAsia="Times New Roman" w:cs="Arial"/>
                <w:b/>
                <w:bCs/>
                <w:lang w:eastAsia="en-GB"/>
              </w:rPr>
            </w:pPr>
          </w:p>
        </w:tc>
        <w:tc>
          <w:tcPr>
            <w:tcW w:w="128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89BF7C" w14:textId="7A220404" w:rsidR="00BD0678" w:rsidRPr="00D30CF4" w:rsidRDefault="00BD0678" w:rsidP="0046463C">
            <w:pPr>
              <w:autoSpaceDE/>
              <w:autoSpaceDN/>
              <w:adjustRightInd/>
              <w:spacing w:after="0"/>
              <w:jc w:val="right"/>
              <w:rPr>
                <w:rFonts w:eastAsia="Times New Roman" w:cs="Arial"/>
                <w:b/>
                <w:bCs/>
                <w:lang w:eastAsia="en-GB"/>
              </w:rPr>
            </w:pPr>
          </w:p>
        </w:tc>
      </w:tr>
      <w:tr w:rsidR="006C72FB" w14:paraId="484CEE25" w14:textId="77777777" w:rsidTr="006F5C55">
        <w:trPr>
          <w:trHeight w:val="284"/>
        </w:trPr>
        <w:tc>
          <w:tcPr>
            <w:tcW w:w="2585" w:type="dxa"/>
            <w:tcBorders>
              <w:top w:val="nil"/>
              <w:left w:val="single" w:sz="8" w:space="0" w:color="auto"/>
              <w:bottom w:val="single" w:sz="8" w:space="0" w:color="auto"/>
              <w:right w:val="single" w:sz="8" w:space="0" w:color="auto"/>
            </w:tcBorders>
            <w:shd w:val="clear" w:color="auto" w:fill="auto"/>
            <w:noWrap/>
            <w:vAlign w:val="center"/>
            <w:hideMark/>
          </w:tcPr>
          <w:p w14:paraId="566B4AE5" w14:textId="77777777" w:rsidR="00BD0678" w:rsidRPr="00D30CF4" w:rsidRDefault="00A854D0" w:rsidP="0046463C">
            <w:pPr>
              <w:autoSpaceDE/>
              <w:autoSpaceDN/>
              <w:adjustRightInd/>
              <w:spacing w:after="0"/>
              <w:jc w:val="left"/>
              <w:rPr>
                <w:rFonts w:eastAsia="Times New Roman" w:cs="Arial"/>
                <w:b/>
                <w:bCs/>
                <w:lang w:eastAsia="en-GB"/>
              </w:rPr>
            </w:pPr>
            <w:r w:rsidRPr="00D30CF4">
              <w:rPr>
                <w:rFonts w:eastAsia="Times New Roman" w:cs="Arial"/>
                <w:b/>
                <w:bCs/>
                <w:lang w:eastAsia="en-GB"/>
              </w:rPr>
              <w:t>Price inflation – previous MTFS</w:t>
            </w:r>
          </w:p>
        </w:tc>
        <w:tc>
          <w:tcPr>
            <w:tcW w:w="1286" w:type="dxa"/>
            <w:tcBorders>
              <w:top w:val="single" w:sz="8" w:space="0" w:color="auto"/>
              <w:left w:val="nil"/>
              <w:bottom w:val="single" w:sz="8" w:space="0" w:color="auto"/>
              <w:right w:val="single" w:sz="8" w:space="0" w:color="auto"/>
            </w:tcBorders>
            <w:shd w:val="clear" w:color="auto" w:fill="auto"/>
            <w:noWrap/>
            <w:vAlign w:val="center"/>
          </w:tcPr>
          <w:p w14:paraId="6D251DA9" w14:textId="6EAE6ACC" w:rsidR="00BD0678" w:rsidRPr="00D30CF4" w:rsidRDefault="00A854D0" w:rsidP="0046463C">
            <w:pPr>
              <w:autoSpaceDE/>
              <w:autoSpaceDN/>
              <w:adjustRightInd/>
              <w:spacing w:after="0"/>
              <w:jc w:val="right"/>
              <w:rPr>
                <w:rFonts w:eastAsia="Times New Roman" w:cs="Arial"/>
                <w:b/>
                <w:bCs/>
                <w:lang w:eastAsia="en-GB"/>
              </w:rPr>
            </w:pPr>
            <w:r w:rsidRPr="00D30CF4">
              <w:rPr>
                <w:rFonts w:eastAsia="Times New Roman" w:cs="Arial"/>
                <w:b/>
                <w:bCs/>
                <w:lang w:eastAsia="en-GB"/>
              </w:rPr>
              <w:t>25.773</w:t>
            </w:r>
          </w:p>
        </w:tc>
        <w:tc>
          <w:tcPr>
            <w:tcW w:w="12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EFE0DE" w14:textId="34440B06" w:rsidR="00BD0678" w:rsidRPr="00D30CF4" w:rsidRDefault="00A854D0" w:rsidP="0046463C">
            <w:pPr>
              <w:autoSpaceDE/>
              <w:autoSpaceDN/>
              <w:adjustRightInd/>
              <w:spacing w:after="0"/>
              <w:jc w:val="right"/>
              <w:rPr>
                <w:rFonts w:eastAsia="Times New Roman" w:cs="Arial"/>
                <w:b/>
                <w:bCs/>
                <w:lang w:eastAsia="en-GB"/>
              </w:rPr>
            </w:pPr>
            <w:r w:rsidRPr="00D30CF4">
              <w:rPr>
                <w:rFonts w:eastAsia="Times New Roman" w:cs="Arial"/>
                <w:b/>
                <w:bCs/>
                <w:lang w:eastAsia="en-GB"/>
              </w:rPr>
              <w:t>22.709</w:t>
            </w:r>
          </w:p>
        </w:tc>
        <w:tc>
          <w:tcPr>
            <w:tcW w:w="12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9283E1" w14:textId="693B5BA9" w:rsidR="00BD0678" w:rsidRPr="00D30CF4" w:rsidRDefault="00A854D0" w:rsidP="0046463C">
            <w:pPr>
              <w:autoSpaceDE/>
              <w:autoSpaceDN/>
              <w:adjustRightInd/>
              <w:spacing w:after="0"/>
              <w:jc w:val="right"/>
              <w:rPr>
                <w:rFonts w:eastAsia="Times New Roman" w:cs="Arial"/>
                <w:b/>
                <w:bCs/>
                <w:lang w:eastAsia="en-GB"/>
              </w:rPr>
            </w:pPr>
            <w:r w:rsidRPr="00D30CF4">
              <w:rPr>
                <w:rFonts w:eastAsia="Times New Roman" w:cs="Arial"/>
                <w:b/>
                <w:bCs/>
                <w:lang w:eastAsia="en-GB"/>
              </w:rPr>
              <w:t>0.000</w:t>
            </w:r>
          </w:p>
        </w:tc>
        <w:tc>
          <w:tcPr>
            <w:tcW w:w="1286" w:type="dxa"/>
            <w:tcBorders>
              <w:top w:val="single" w:sz="8" w:space="0" w:color="auto"/>
              <w:left w:val="single" w:sz="8" w:space="0" w:color="auto"/>
              <w:bottom w:val="single" w:sz="8" w:space="0" w:color="auto"/>
              <w:right w:val="single" w:sz="8" w:space="0" w:color="auto"/>
            </w:tcBorders>
            <w:vAlign w:val="center"/>
          </w:tcPr>
          <w:p w14:paraId="7F0B1563" w14:textId="00A49224" w:rsidR="00BD0678" w:rsidRPr="00D30CF4" w:rsidRDefault="00A854D0" w:rsidP="008E241A">
            <w:pPr>
              <w:autoSpaceDE/>
              <w:autoSpaceDN/>
              <w:adjustRightInd/>
              <w:spacing w:after="0"/>
              <w:jc w:val="right"/>
              <w:rPr>
                <w:rFonts w:eastAsia="Times New Roman" w:cs="Arial"/>
                <w:b/>
                <w:bCs/>
                <w:lang w:eastAsia="en-GB"/>
              </w:rPr>
            </w:pPr>
            <w:r w:rsidRPr="00D30CF4">
              <w:rPr>
                <w:rFonts w:eastAsia="Times New Roman" w:cs="Arial"/>
                <w:b/>
                <w:bCs/>
                <w:lang w:eastAsia="en-GB"/>
              </w:rPr>
              <w:t>0.000</w:t>
            </w:r>
          </w:p>
        </w:tc>
        <w:tc>
          <w:tcPr>
            <w:tcW w:w="128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3DA49C5" w14:textId="5E9FB1E9" w:rsidR="00BD0678" w:rsidRPr="00D30CF4" w:rsidRDefault="00A854D0" w:rsidP="0046463C">
            <w:pPr>
              <w:autoSpaceDE/>
              <w:autoSpaceDN/>
              <w:adjustRightInd/>
              <w:spacing w:after="0"/>
              <w:jc w:val="right"/>
              <w:rPr>
                <w:rFonts w:eastAsia="Times New Roman" w:cs="Arial"/>
                <w:b/>
                <w:bCs/>
                <w:lang w:eastAsia="en-GB"/>
              </w:rPr>
            </w:pPr>
            <w:r w:rsidRPr="00D30CF4">
              <w:rPr>
                <w:rFonts w:eastAsia="Times New Roman" w:cs="Arial"/>
                <w:b/>
                <w:bCs/>
                <w:lang w:eastAsia="en-GB"/>
              </w:rPr>
              <w:t>48.482</w:t>
            </w:r>
          </w:p>
        </w:tc>
      </w:tr>
      <w:tr w:rsidR="006C72FB" w14:paraId="3F7B6A7B" w14:textId="77777777" w:rsidTr="008E241A">
        <w:trPr>
          <w:trHeight w:val="284"/>
        </w:trPr>
        <w:tc>
          <w:tcPr>
            <w:tcW w:w="2585" w:type="dxa"/>
            <w:tcBorders>
              <w:top w:val="nil"/>
              <w:left w:val="single" w:sz="8" w:space="0" w:color="auto"/>
              <w:bottom w:val="single" w:sz="8" w:space="0" w:color="auto"/>
              <w:right w:val="single" w:sz="8" w:space="0" w:color="auto"/>
            </w:tcBorders>
            <w:shd w:val="clear" w:color="auto" w:fill="auto"/>
            <w:noWrap/>
            <w:vAlign w:val="center"/>
            <w:hideMark/>
          </w:tcPr>
          <w:p w14:paraId="4A58EAA4" w14:textId="77777777" w:rsidR="00BD0678" w:rsidRPr="00D30CF4" w:rsidRDefault="00A854D0" w:rsidP="0046463C">
            <w:pPr>
              <w:autoSpaceDE/>
              <w:autoSpaceDN/>
              <w:adjustRightInd/>
              <w:spacing w:after="0"/>
              <w:rPr>
                <w:rFonts w:eastAsia="Times New Roman" w:cs="Arial"/>
                <w:lang w:eastAsia="en-GB"/>
              </w:rPr>
            </w:pPr>
            <w:r w:rsidRPr="00D30CF4">
              <w:rPr>
                <w:rFonts w:eastAsia="Times New Roman" w:cs="Arial"/>
                <w:lang w:eastAsia="en-GB"/>
              </w:rPr>
              <w:t> </w:t>
            </w:r>
          </w:p>
        </w:tc>
        <w:tc>
          <w:tcPr>
            <w:tcW w:w="1286" w:type="dxa"/>
            <w:tcBorders>
              <w:top w:val="single" w:sz="8" w:space="0" w:color="auto"/>
              <w:left w:val="nil"/>
              <w:bottom w:val="single" w:sz="8" w:space="0" w:color="auto"/>
              <w:right w:val="single" w:sz="8" w:space="0" w:color="auto"/>
            </w:tcBorders>
            <w:shd w:val="clear" w:color="auto" w:fill="auto"/>
            <w:noWrap/>
            <w:vAlign w:val="center"/>
          </w:tcPr>
          <w:p w14:paraId="502E7051" w14:textId="3B94359D" w:rsidR="00BD0678" w:rsidRPr="00D30CF4" w:rsidRDefault="00BD0678" w:rsidP="0046463C">
            <w:pPr>
              <w:autoSpaceDE/>
              <w:autoSpaceDN/>
              <w:adjustRightInd/>
              <w:spacing w:after="0"/>
              <w:jc w:val="right"/>
              <w:rPr>
                <w:rFonts w:eastAsia="Times New Roman" w:cs="Arial"/>
                <w:lang w:eastAsia="en-GB"/>
              </w:rPr>
            </w:pPr>
          </w:p>
        </w:tc>
        <w:tc>
          <w:tcPr>
            <w:tcW w:w="12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097ABFE" w14:textId="48B0A419" w:rsidR="00BD0678" w:rsidRPr="00D30CF4" w:rsidRDefault="00BD0678" w:rsidP="0046463C">
            <w:pPr>
              <w:autoSpaceDE/>
              <w:autoSpaceDN/>
              <w:adjustRightInd/>
              <w:spacing w:after="0"/>
              <w:jc w:val="right"/>
              <w:rPr>
                <w:rFonts w:eastAsia="Times New Roman" w:cs="Arial"/>
                <w:b/>
                <w:bCs/>
                <w:lang w:eastAsia="en-GB"/>
              </w:rPr>
            </w:pPr>
          </w:p>
        </w:tc>
        <w:tc>
          <w:tcPr>
            <w:tcW w:w="12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5ADFD92" w14:textId="253A4D35" w:rsidR="00BD0678" w:rsidRPr="00D30CF4" w:rsidRDefault="00BD0678" w:rsidP="0046463C">
            <w:pPr>
              <w:autoSpaceDE/>
              <w:autoSpaceDN/>
              <w:adjustRightInd/>
              <w:spacing w:after="0"/>
              <w:jc w:val="right"/>
              <w:rPr>
                <w:rFonts w:eastAsia="Times New Roman" w:cs="Arial"/>
                <w:lang w:eastAsia="en-GB"/>
              </w:rPr>
            </w:pPr>
          </w:p>
        </w:tc>
        <w:tc>
          <w:tcPr>
            <w:tcW w:w="1286" w:type="dxa"/>
            <w:tcBorders>
              <w:top w:val="single" w:sz="8" w:space="0" w:color="auto"/>
              <w:left w:val="single" w:sz="8" w:space="0" w:color="auto"/>
              <w:bottom w:val="single" w:sz="8" w:space="0" w:color="auto"/>
              <w:right w:val="single" w:sz="8" w:space="0" w:color="auto"/>
            </w:tcBorders>
          </w:tcPr>
          <w:p w14:paraId="1F351620" w14:textId="77777777" w:rsidR="00BD0678" w:rsidRPr="00D30CF4" w:rsidRDefault="00BD0678" w:rsidP="0046463C">
            <w:pPr>
              <w:autoSpaceDE/>
              <w:autoSpaceDN/>
              <w:adjustRightInd/>
              <w:spacing w:after="0"/>
              <w:jc w:val="right"/>
              <w:rPr>
                <w:rFonts w:eastAsia="Times New Roman" w:cs="Arial"/>
                <w:b/>
                <w:bCs/>
                <w:lang w:eastAsia="en-GB"/>
              </w:rPr>
            </w:pPr>
          </w:p>
        </w:tc>
        <w:tc>
          <w:tcPr>
            <w:tcW w:w="128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E5C320" w14:textId="7733F46E" w:rsidR="00BD0678" w:rsidRPr="00D30CF4" w:rsidRDefault="00BD0678" w:rsidP="0046463C">
            <w:pPr>
              <w:autoSpaceDE/>
              <w:autoSpaceDN/>
              <w:adjustRightInd/>
              <w:spacing w:after="0"/>
              <w:jc w:val="right"/>
              <w:rPr>
                <w:rFonts w:eastAsia="Times New Roman" w:cs="Arial"/>
                <w:b/>
                <w:bCs/>
                <w:lang w:eastAsia="en-GB"/>
              </w:rPr>
            </w:pPr>
          </w:p>
        </w:tc>
      </w:tr>
      <w:tr w:rsidR="006C72FB" w14:paraId="51AE0B00" w14:textId="77777777" w:rsidTr="008E241A">
        <w:trPr>
          <w:trHeight w:val="284"/>
        </w:trPr>
        <w:tc>
          <w:tcPr>
            <w:tcW w:w="2585" w:type="dxa"/>
            <w:tcBorders>
              <w:top w:val="nil"/>
              <w:left w:val="single" w:sz="8" w:space="0" w:color="auto"/>
              <w:bottom w:val="single" w:sz="8" w:space="0" w:color="auto"/>
              <w:right w:val="single" w:sz="8" w:space="0" w:color="auto"/>
            </w:tcBorders>
            <w:shd w:val="clear" w:color="auto" w:fill="auto"/>
            <w:noWrap/>
            <w:vAlign w:val="center"/>
            <w:hideMark/>
          </w:tcPr>
          <w:p w14:paraId="7CB0D1F0" w14:textId="77777777" w:rsidR="00BD0678" w:rsidRPr="00D30CF4" w:rsidRDefault="00A854D0" w:rsidP="0046463C">
            <w:pPr>
              <w:autoSpaceDE/>
              <w:autoSpaceDN/>
              <w:adjustRightInd/>
              <w:spacing w:after="0"/>
              <w:rPr>
                <w:rFonts w:eastAsia="Times New Roman" w:cs="Arial"/>
                <w:b/>
                <w:bCs/>
                <w:lang w:eastAsia="en-GB"/>
              </w:rPr>
            </w:pPr>
            <w:r w:rsidRPr="00D30CF4">
              <w:rPr>
                <w:rFonts w:eastAsia="Times New Roman" w:cs="Arial"/>
                <w:b/>
                <w:bCs/>
                <w:lang w:eastAsia="en-GB"/>
              </w:rPr>
              <w:t>Variance</w:t>
            </w:r>
          </w:p>
        </w:tc>
        <w:tc>
          <w:tcPr>
            <w:tcW w:w="1286" w:type="dxa"/>
            <w:tcBorders>
              <w:top w:val="single" w:sz="8" w:space="0" w:color="auto"/>
              <w:left w:val="nil"/>
              <w:bottom w:val="single" w:sz="8" w:space="0" w:color="auto"/>
              <w:right w:val="single" w:sz="8" w:space="0" w:color="auto"/>
            </w:tcBorders>
            <w:shd w:val="clear" w:color="auto" w:fill="auto"/>
            <w:noWrap/>
            <w:vAlign w:val="center"/>
          </w:tcPr>
          <w:p w14:paraId="2672DB8D" w14:textId="2F791289" w:rsidR="00BD0678" w:rsidRPr="00D30CF4" w:rsidRDefault="00A854D0" w:rsidP="0046463C">
            <w:pPr>
              <w:autoSpaceDE/>
              <w:autoSpaceDN/>
              <w:adjustRightInd/>
              <w:spacing w:after="0"/>
              <w:jc w:val="right"/>
              <w:rPr>
                <w:rFonts w:eastAsia="Times New Roman" w:cs="Arial"/>
                <w:b/>
                <w:bCs/>
                <w:lang w:eastAsia="en-GB"/>
              </w:rPr>
            </w:pPr>
            <w:r w:rsidRPr="00D30CF4">
              <w:rPr>
                <w:rFonts w:eastAsia="Times New Roman" w:cs="Arial"/>
                <w:b/>
                <w:bCs/>
                <w:lang w:eastAsia="en-GB"/>
              </w:rPr>
              <w:t>17.975</w:t>
            </w:r>
          </w:p>
        </w:tc>
        <w:tc>
          <w:tcPr>
            <w:tcW w:w="12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5D7156" w14:textId="211F3783" w:rsidR="00BD0678" w:rsidRPr="00D30CF4" w:rsidRDefault="00A854D0" w:rsidP="0046463C">
            <w:pPr>
              <w:autoSpaceDE/>
              <w:autoSpaceDN/>
              <w:adjustRightInd/>
              <w:spacing w:after="0"/>
              <w:jc w:val="right"/>
              <w:rPr>
                <w:rFonts w:eastAsia="Times New Roman" w:cs="Arial"/>
                <w:b/>
                <w:bCs/>
                <w:lang w:eastAsia="en-GB"/>
              </w:rPr>
            </w:pPr>
            <w:r>
              <w:rPr>
                <w:rFonts w:eastAsia="Times New Roman" w:cs="Arial"/>
                <w:b/>
                <w:bCs/>
                <w:lang w:eastAsia="en-GB"/>
              </w:rPr>
              <w:t>6.157</w:t>
            </w:r>
          </w:p>
        </w:tc>
        <w:tc>
          <w:tcPr>
            <w:tcW w:w="12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D1C429" w14:textId="45A15742" w:rsidR="00BD0678" w:rsidRPr="00D30CF4" w:rsidRDefault="00A854D0" w:rsidP="0046463C">
            <w:pPr>
              <w:autoSpaceDE/>
              <w:autoSpaceDN/>
              <w:adjustRightInd/>
              <w:spacing w:after="0"/>
              <w:jc w:val="right"/>
              <w:rPr>
                <w:rFonts w:eastAsia="Times New Roman" w:cs="Arial"/>
                <w:b/>
                <w:bCs/>
                <w:lang w:eastAsia="en-GB"/>
              </w:rPr>
            </w:pPr>
            <w:r>
              <w:rPr>
                <w:rFonts w:eastAsia="Times New Roman" w:cs="Arial"/>
                <w:b/>
                <w:bCs/>
                <w:lang w:eastAsia="en-GB"/>
              </w:rPr>
              <w:t>33.441</w:t>
            </w:r>
          </w:p>
        </w:tc>
        <w:tc>
          <w:tcPr>
            <w:tcW w:w="1286" w:type="dxa"/>
            <w:tcBorders>
              <w:top w:val="single" w:sz="8" w:space="0" w:color="auto"/>
              <w:left w:val="single" w:sz="8" w:space="0" w:color="auto"/>
              <w:bottom w:val="single" w:sz="8" w:space="0" w:color="auto"/>
              <w:right w:val="single" w:sz="8" w:space="0" w:color="auto"/>
            </w:tcBorders>
          </w:tcPr>
          <w:p w14:paraId="10000BBF" w14:textId="599D616E" w:rsidR="00BD0678" w:rsidRPr="00D30CF4" w:rsidRDefault="00A854D0" w:rsidP="0046463C">
            <w:pPr>
              <w:autoSpaceDE/>
              <w:autoSpaceDN/>
              <w:adjustRightInd/>
              <w:spacing w:after="0"/>
              <w:jc w:val="right"/>
              <w:rPr>
                <w:rFonts w:eastAsia="Times New Roman" w:cs="Arial"/>
                <w:b/>
                <w:bCs/>
                <w:lang w:eastAsia="en-GB"/>
              </w:rPr>
            </w:pPr>
            <w:r>
              <w:rPr>
                <w:rFonts w:eastAsia="Times New Roman" w:cs="Arial"/>
                <w:b/>
                <w:bCs/>
                <w:lang w:eastAsia="en-GB"/>
              </w:rPr>
              <w:t>34.564</w:t>
            </w:r>
          </w:p>
        </w:tc>
        <w:tc>
          <w:tcPr>
            <w:tcW w:w="128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5F4385" w14:textId="05AFACBB" w:rsidR="00BD0678" w:rsidRPr="00D30CF4" w:rsidRDefault="00A854D0" w:rsidP="0046463C">
            <w:pPr>
              <w:autoSpaceDE/>
              <w:autoSpaceDN/>
              <w:adjustRightInd/>
              <w:spacing w:after="0"/>
              <w:jc w:val="right"/>
              <w:rPr>
                <w:rFonts w:eastAsia="Times New Roman" w:cs="Arial"/>
                <w:b/>
                <w:bCs/>
                <w:lang w:eastAsia="en-GB"/>
              </w:rPr>
            </w:pPr>
            <w:r>
              <w:rPr>
                <w:rFonts w:eastAsia="Times New Roman" w:cs="Arial"/>
                <w:b/>
                <w:bCs/>
                <w:lang w:eastAsia="en-GB"/>
              </w:rPr>
              <w:t>92.137</w:t>
            </w:r>
          </w:p>
        </w:tc>
      </w:tr>
    </w:tbl>
    <w:p w14:paraId="1CE8D5FF" w14:textId="77777777" w:rsidR="0046463C" w:rsidRPr="003A755A" w:rsidRDefault="0046463C" w:rsidP="0046463C">
      <w:pPr>
        <w:spacing w:after="0"/>
        <w:rPr>
          <w:rFonts w:cs="Arial"/>
          <w:highlight w:val="yellow"/>
        </w:rPr>
      </w:pPr>
    </w:p>
    <w:p w14:paraId="2B6646B1" w14:textId="77777777" w:rsidR="0046463C" w:rsidRPr="0068002D" w:rsidRDefault="00A854D0" w:rsidP="0046463C">
      <w:pPr>
        <w:tabs>
          <w:tab w:val="left" w:pos="567"/>
          <w:tab w:val="left" w:pos="1134"/>
        </w:tabs>
        <w:spacing w:after="0"/>
        <w:rPr>
          <w:rFonts w:cs="Arial"/>
          <w:b/>
        </w:rPr>
      </w:pPr>
      <w:r w:rsidRPr="0068002D">
        <w:rPr>
          <w:rFonts w:cs="Arial"/>
          <w:b/>
        </w:rPr>
        <w:t>3.3</w:t>
      </w:r>
      <w:r w:rsidRPr="0068002D">
        <w:rPr>
          <w:rFonts w:cs="Arial"/>
          <w:b/>
        </w:rPr>
        <w:tab/>
        <w:t>Demand pressures</w:t>
      </w:r>
    </w:p>
    <w:p w14:paraId="0DB2D0D7" w14:textId="77777777" w:rsidR="0046463C" w:rsidRPr="0068002D" w:rsidRDefault="00A854D0" w:rsidP="0046463C">
      <w:pPr>
        <w:tabs>
          <w:tab w:val="left" w:pos="567"/>
          <w:tab w:val="left" w:pos="1134"/>
        </w:tabs>
        <w:spacing w:after="0"/>
        <w:rPr>
          <w:rFonts w:cs="Arial"/>
        </w:rPr>
      </w:pPr>
      <w:r w:rsidRPr="0B8C6090">
        <w:rPr>
          <w:rFonts w:cs="Arial"/>
        </w:rPr>
        <w:t xml:space="preserve">All services have reviewed the demand pressures they face in future years and increasing demand </w:t>
      </w:r>
      <w:bookmarkStart w:id="4" w:name="_Int_0mLEVp2O"/>
      <w:r w:rsidRPr="0B8C6090">
        <w:rPr>
          <w:rFonts w:cs="Arial"/>
        </w:rPr>
        <w:t>still remains</w:t>
      </w:r>
      <w:bookmarkEnd w:id="4"/>
      <w:r w:rsidRPr="0B8C6090">
        <w:rPr>
          <w:rFonts w:cs="Arial"/>
        </w:rPr>
        <w:t xml:space="preserve"> a significant element of the funding gap. </w:t>
      </w:r>
    </w:p>
    <w:p w14:paraId="20028819" w14:textId="77777777" w:rsidR="0046463C" w:rsidRPr="003A755A" w:rsidRDefault="0046463C" w:rsidP="0046463C">
      <w:pPr>
        <w:tabs>
          <w:tab w:val="left" w:pos="567"/>
          <w:tab w:val="left" w:pos="1134"/>
        </w:tabs>
        <w:spacing w:after="0"/>
        <w:rPr>
          <w:rFonts w:cs="Arial"/>
          <w:highlight w:val="yellow"/>
        </w:rPr>
      </w:pPr>
    </w:p>
    <w:p w14:paraId="1C2BDF35" w14:textId="77777777" w:rsidR="0046463C" w:rsidRPr="00D355FF" w:rsidRDefault="00A854D0" w:rsidP="0046463C">
      <w:pPr>
        <w:tabs>
          <w:tab w:val="left" w:pos="567"/>
          <w:tab w:val="left" w:pos="1134"/>
        </w:tabs>
        <w:spacing w:after="0"/>
        <w:rPr>
          <w:rFonts w:cs="Arial"/>
          <w:b/>
          <w:i/>
          <w:u w:val="single"/>
        </w:rPr>
      </w:pPr>
      <w:r w:rsidRPr="00D355FF">
        <w:rPr>
          <w:rFonts w:cs="Arial"/>
          <w:b/>
          <w:i/>
          <w:u w:val="single"/>
        </w:rPr>
        <w:t>Table 6</w:t>
      </w:r>
    </w:p>
    <w:p w14:paraId="5A1EA99A" w14:textId="77777777" w:rsidR="0046463C" w:rsidRPr="00D355FF" w:rsidRDefault="0046463C" w:rsidP="0046463C">
      <w:pPr>
        <w:tabs>
          <w:tab w:val="left" w:pos="567"/>
          <w:tab w:val="left" w:pos="1134"/>
        </w:tabs>
        <w:spacing w:after="0"/>
        <w:rPr>
          <w:rFonts w:cs="Arial"/>
        </w:rPr>
      </w:pPr>
    </w:p>
    <w:tbl>
      <w:tblPr>
        <w:tblW w:w="901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379"/>
        <w:gridCol w:w="1127"/>
        <w:gridCol w:w="1127"/>
        <w:gridCol w:w="1128"/>
        <w:gridCol w:w="1127"/>
        <w:gridCol w:w="1128"/>
      </w:tblGrid>
      <w:tr w:rsidR="006C72FB" w14:paraId="0E471D5F" w14:textId="77777777" w:rsidTr="00B364D2">
        <w:trPr>
          <w:trHeight w:val="271"/>
        </w:trPr>
        <w:tc>
          <w:tcPr>
            <w:tcW w:w="3379" w:type="dxa"/>
            <w:vMerge w:val="restart"/>
            <w:shd w:val="clear" w:color="000000" w:fill="BFBFBF"/>
            <w:noWrap/>
            <w:vAlign w:val="center"/>
            <w:hideMark/>
          </w:tcPr>
          <w:p w14:paraId="655D5F5F" w14:textId="77777777" w:rsidR="006F5C55" w:rsidRPr="00D355FF" w:rsidRDefault="00A854D0" w:rsidP="006F5C55">
            <w:pPr>
              <w:autoSpaceDE/>
              <w:autoSpaceDN/>
              <w:adjustRightInd/>
              <w:spacing w:after="0"/>
              <w:rPr>
                <w:rFonts w:eastAsia="Times New Roman" w:cs="Arial"/>
                <w:lang w:eastAsia="en-GB"/>
              </w:rPr>
            </w:pPr>
            <w:r w:rsidRPr="00D355FF">
              <w:rPr>
                <w:rFonts w:eastAsia="Times New Roman" w:cs="Arial"/>
                <w:lang w:eastAsia="en-GB"/>
              </w:rPr>
              <w:t> </w:t>
            </w:r>
          </w:p>
        </w:tc>
        <w:tc>
          <w:tcPr>
            <w:tcW w:w="1127" w:type="dxa"/>
            <w:tcBorders>
              <w:bottom w:val="nil"/>
            </w:tcBorders>
            <w:shd w:val="clear" w:color="000000" w:fill="BFBFBF"/>
            <w:noWrap/>
            <w:vAlign w:val="center"/>
            <w:hideMark/>
          </w:tcPr>
          <w:p w14:paraId="4A20A4F7" w14:textId="013AE9C0" w:rsidR="006F5C55" w:rsidRPr="00D355FF" w:rsidRDefault="00A854D0" w:rsidP="006F5C55">
            <w:pPr>
              <w:autoSpaceDE/>
              <w:autoSpaceDN/>
              <w:adjustRightInd/>
              <w:spacing w:after="0"/>
              <w:jc w:val="center"/>
              <w:rPr>
                <w:rFonts w:eastAsia="Times New Roman" w:cs="Arial"/>
                <w:b/>
                <w:bCs/>
                <w:lang w:eastAsia="en-GB"/>
              </w:rPr>
            </w:pPr>
            <w:r w:rsidRPr="00D355FF">
              <w:rPr>
                <w:rFonts w:eastAsia="Times New Roman" w:cs="Arial"/>
                <w:b/>
                <w:bCs/>
                <w:lang w:eastAsia="en-GB"/>
              </w:rPr>
              <w:t>2023/24</w:t>
            </w:r>
          </w:p>
        </w:tc>
        <w:tc>
          <w:tcPr>
            <w:tcW w:w="1127" w:type="dxa"/>
            <w:tcBorders>
              <w:bottom w:val="nil"/>
            </w:tcBorders>
            <w:shd w:val="clear" w:color="000000" w:fill="BFBFBF"/>
            <w:noWrap/>
            <w:vAlign w:val="center"/>
            <w:hideMark/>
          </w:tcPr>
          <w:p w14:paraId="61656F52" w14:textId="72FEFBF2" w:rsidR="006F5C55" w:rsidRPr="00D355FF" w:rsidRDefault="00A854D0" w:rsidP="006F5C55">
            <w:pPr>
              <w:autoSpaceDE/>
              <w:autoSpaceDN/>
              <w:adjustRightInd/>
              <w:spacing w:after="0"/>
              <w:jc w:val="center"/>
              <w:rPr>
                <w:rFonts w:eastAsia="Times New Roman" w:cs="Arial"/>
                <w:b/>
                <w:bCs/>
                <w:lang w:eastAsia="en-GB"/>
              </w:rPr>
            </w:pPr>
            <w:r w:rsidRPr="00D355FF">
              <w:rPr>
                <w:rFonts w:eastAsia="Times New Roman" w:cs="Arial"/>
                <w:b/>
                <w:bCs/>
                <w:lang w:eastAsia="en-GB"/>
              </w:rPr>
              <w:t>2024/25</w:t>
            </w:r>
          </w:p>
        </w:tc>
        <w:tc>
          <w:tcPr>
            <w:tcW w:w="1128" w:type="dxa"/>
            <w:tcBorders>
              <w:bottom w:val="nil"/>
            </w:tcBorders>
            <w:shd w:val="clear" w:color="000000" w:fill="BFBFBF"/>
            <w:noWrap/>
            <w:vAlign w:val="center"/>
            <w:hideMark/>
          </w:tcPr>
          <w:p w14:paraId="0B6C8398" w14:textId="170C8F55" w:rsidR="006F5C55" w:rsidRPr="00D355FF" w:rsidRDefault="00A854D0" w:rsidP="006F5C55">
            <w:pPr>
              <w:autoSpaceDE/>
              <w:autoSpaceDN/>
              <w:adjustRightInd/>
              <w:spacing w:after="0"/>
              <w:jc w:val="center"/>
              <w:rPr>
                <w:rFonts w:eastAsia="Times New Roman" w:cs="Arial"/>
                <w:b/>
                <w:bCs/>
                <w:lang w:eastAsia="en-GB"/>
              </w:rPr>
            </w:pPr>
            <w:r w:rsidRPr="00D355FF">
              <w:rPr>
                <w:rFonts w:eastAsia="Times New Roman" w:cs="Arial"/>
                <w:b/>
                <w:bCs/>
                <w:lang w:eastAsia="en-GB"/>
              </w:rPr>
              <w:t>2025/26</w:t>
            </w:r>
          </w:p>
        </w:tc>
        <w:tc>
          <w:tcPr>
            <w:tcW w:w="1127" w:type="dxa"/>
            <w:tcBorders>
              <w:bottom w:val="nil"/>
            </w:tcBorders>
            <w:shd w:val="clear" w:color="000000" w:fill="BFBFBF"/>
          </w:tcPr>
          <w:p w14:paraId="0A069FA8" w14:textId="0F49C079" w:rsidR="006F5C55" w:rsidRPr="00D355FF" w:rsidRDefault="00A854D0" w:rsidP="006F5C55">
            <w:pPr>
              <w:autoSpaceDE/>
              <w:autoSpaceDN/>
              <w:adjustRightInd/>
              <w:spacing w:after="0"/>
              <w:jc w:val="center"/>
              <w:rPr>
                <w:rFonts w:eastAsia="Times New Roman" w:cs="Arial"/>
                <w:b/>
                <w:bCs/>
                <w:lang w:eastAsia="en-GB"/>
              </w:rPr>
            </w:pPr>
            <w:r w:rsidRPr="00D355FF">
              <w:rPr>
                <w:rFonts w:eastAsia="Times New Roman" w:cs="Arial"/>
                <w:b/>
                <w:bCs/>
                <w:lang w:eastAsia="en-GB"/>
              </w:rPr>
              <w:t>2026/27</w:t>
            </w:r>
          </w:p>
        </w:tc>
        <w:tc>
          <w:tcPr>
            <w:tcW w:w="1128" w:type="dxa"/>
            <w:tcBorders>
              <w:bottom w:val="nil"/>
            </w:tcBorders>
            <w:shd w:val="clear" w:color="000000" w:fill="BFBFBF"/>
            <w:noWrap/>
            <w:vAlign w:val="center"/>
            <w:hideMark/>
          </w:tcPr>
          <w:p w14:paraId="5D0119C9" w14:textId="5A04ED0B" w:rsidR="006F5C55" w:rsidRPr="00D355FF" w:rsidRDefault="00A854D0" w:rsidP="006F5C55">
            <w:pPr>
              <w:autoSpaceDE/>
              <w:autoSpaceDN/>
              <w:adjustRightInd/>
              <w:spacing w:after="0"/>
              <w:jc w:val="center"/>
              <w:rPr>
                <w:rFonts w:eastAsia="Times New Roman" w:cs="Arial"/>
                <w:b/>
                <w:bCs/>
                <w:lang w:eastAsia="en-GB"/>
              </w:rPr>
            </w:pPr>
            <w:r w:rsidRPr="00D355FF">
              <w:rPr>
                <w:rFonts w:eastAsia="Times New Roman" w:cs="Arial"/>
                <w:b/>
                <w:bCs/>
                <w:lang w:eastAsia="en-GB"/>
              </w:rPr>
              <w:t>Total</w:t>
            </w:r>
          </w:p>
        </w:tc>
      </w:tr>
      <w:tr w:rsidR="006C72FB" w14:paraId="551982B4" w14:textId="77777777" w:rsidTr="00B364D2">
        <w:trPr>
          <w:trHeight w:val="280"/>
        </w:trPr>
        <w:tc>
          <w:tcPr>
            <w:tcW w:w="3379" w:type="dxa"/>
            <w:vMerge/>
            <w:vAlign w:val="center"/>
            <w:hideMark/>
          </w:tcPr>
          <w:p w14:paraId="593E87D2" w14:textId="77777777" w:rsidR="006F5C55" w:rsidRPr="00D355FF" w:rsidRDefault="006F5C55" w:rsidP="0046463C">
            <w:pPr>
              <w:autoSpaceDE/>
              <w:autoSpaceDN/>
              <w:adjustRightInd/>
              <w:spacing w:after="0"/>
              <w:jc w:val="left"/>
              <w:rPr>
                <w:rFonts w:eastAsia="Times New Roman" w:cs="Arial"/>
                <w:lang w:eastAsia="en-GB"/>
              </w:rPr>
            </w:pPr>
          </w:p>
        </w:tc>
        <w:tc>
          <w:tcPr>
            <w:tcW w:w="1127" w:type="dxa"/>
            <w:tcBorders>
              <w:top w:val="nil"/>
            </w:tcBorders>
            <w:shd w:val="clear" w:color="000000" w:fill="BFBFBF"/>
            <w:noWrap/>
            <w:vAlign w:val="center"/>
            <w:hideMark/>
          </w:tcPr>
          <w:p w14:paraId="4EED79FA" w14:textId="77777777" w:rsidR="006F5C55" w:rsidRPr="00D355FF" w:rsidRDefault="00A854D0" w:rsidP="0046463C">
            <w:pPr>
              <w:autoSpaceDE/>
              <w:autoSpaceDN/>
              <w:adjustRightInd/>
              <w:spacing w:after="0"/>
              <w:jc w:val="center"/>
              <w:rPr>
                <w:rFonts w:eastAsia="Times New Roman" w:cs="Arial"/>
                <w:b/>
                <w:bCs/>
                <w:lang w:eastAsia="en-GB"/>
              </w:rPr>
            </w:pPr>
            <w:r w:rsidRPr="00D355FF">
              <w:rPr>
                <w:rFonts w:eastAsia="Times New Roman" w:cs="Arial"/>
                <w:b/>
                <w:bCs/>
                <w:lang w:eastAsia="en-GB"/>
              </w:rPr>
              <w:t>£m</w:t>
            </w:r>
          </w:p>
        </w:tc>
        <w:tc>
          <w:tcPr>
            <w:tcW w:w="1127" w:type="dxa"/>
            <w:tcBorders>
              <w:top w:val="nil"/>
            </w:tcBorders>
            <w:shd w:val="clear" w:color="000000" w:fill="BFBFBF"/>
            <w:noWrap/>
            <w:vAlign w:val="center"/>
            <w:hideMark/>
          </w:tcPr>
          <w:p w14:paraId="076D3AE0" w14:textId="77777777" w:rsidR="006F5C55" w:rsidRPr="00D355FF" w:rsidRDefault="00A854D0" w:rsidP="0046463C">
            <w:pPr>
              <w:autoSpaceDE/>
              <w:autoSpaceDN/>
              <w:adjustRightInd/>
              <w:spacing w:after="0"/>
              <w:jc w:val="center"/>
              <w:rPr>
                <w:rFonts w:eastAsia="Times New Roman" w:cs="Arial"/>
                <w:b/>
                <w:bCs/>
                <w:lang w:eastAsia="en-GB"/>
              </w:rPr>
            </w:pPr>
            <w:r w:rsidRPr="00D355FF">
              <w:rPr>
                <w:rFonts w:eastAsia="Times New Roman" w:cs="Arial"/>
                <w:b/>
                <w:bCs/>
                <w:lang w:eastAsia="en-GB"/>
              </w:rPr>
              <w:t>£m</w:t>
            </w:r>
          </w:p>
        </w:tc>
        <w:tc>
          <w:tcPr>
            <w:tcW w:w="1128" w:type="dxa"/>
            <w:tcBorders>
              <w:top w:val="nil"/>
            </w:tcBorders>
            <w:shd w:val="clear" w:color="000000" w:fill="BFBFBF"/>
            <w:noWrap/>
            <w:vAlign w:val="center"/>
            <w:hideMark/>
          </w:tcPr>
          <w:p w14:paraId="047848B1" w14:textId="77777777" w:rsidR="006F5C55" w:rsidRPr="00D355FF" w:rsidRDefault="00A854D0" w:rsidP="0046463C">
            <w:pPr>
              <w:autoSpaceDE/>
              <w:autoSpaceDN/>
              <w:adjustRightInd/>
              <w:spacing w:after="0"/>
              <w:jc w:val="center"/>
              <w:rPr>
                <w:rFonts w:eastAsia="Times New Roman" w:cs="Arial"/>
                <w:b/>
                <w:bCs/>
                <w:lang w:eastAsia="en-GB"/>
              </w:rPr>
            </w:pPr>
            <w:r w:rsidRPr="00D355FF">
              <w:rPr>
                <w:rFonts w:eastAsia="Times New Roman" w:cs="Arial"/>
                <w:b/>
                <w:bCs/>
                <w:lang w:eastAsia="en-GB"/>
              </w:rPr>
              <w:t>£m</w:t>
            </w:r>
          </w:p>
        </w:tc>
        <w:tc>
          <w:tcPr>
            <w:tcW w:w="1127" w:type="dxa"/>
            <w:tcBorders>
              <w:top w:val="nil"/>
            </w:tcBorders>
            <w:shd w:val="clear" w:color="000000" w:fill="BFBFBF"/>
          </w:tcPr>
          <w:p w14:paraId="6821BE0F" w14:textId="6D472528" w:rsidR="006F5C55" w:rsidRPr="00D355FF" w:rsidRDefault="00A854D0" w:rsidP="0046463C">
            <w:pPr>
              <w:autoSpaceDE/>
              <w:autoSpaceDN/>
              <w:adjustRightInd/>
              <w:spacing w:after="0"/>
              <w:jc w:val="center"/>
              <w:rPr>
                <w:rFonts w:eastAsia="Times New Roman" w:cs="Arial"/>
                <w:b/>
                <w:bCs/>
                <w:lang w:eastAsia="en-GB"/>
              </w:rPr>
            </w:pPr>
            <w:r w:rsidRPr="00D355FF">
              <w:rPr>
                <w:rFonts w:eastAsia="Times New Roman" w:cs="Arial"/>
                <w:b/>
                <w:bCs/>
                <w:lang w:eastAsia="en-GB"/>
              </w:rPr>
              <w:t>£m</w:t>
            </w:r>
          </w:p>
        </w:tc>
        <w:tc>
          <w:tcPr>
            <w:tcW w:w="1128" w:type="dxa"/>
            <w:tcBorders>
              <w:top w:val="nil"/>
            </w:tcBorders>
            <w:shd w:val="clear" w:color="000000" w:fill="BFBFBF"/>
            <w:noWrap/>
            <w:vAlign w:val="center"/>
            <w:hideMark/>
          </w:tcPr>
          <w:p w14:paraId="15897350" w14:textId="5C37EA3B" w:rsidR="006F5C55" w:rsidRPr="00D355FF" w:rsidRDefault="00A854D0" w:rsidP="0046463C">
            <w:pPr>
              <w:autoSpaceDE/>
              <w:autoSpaceDN/>
              <w:adjustRightInd/>
              <w:spacing w:after="0"/>
              <w:jc w:val="center"/>
              <w:rPr>
                <w:rFonts w:eastAsia="Times New Roman" w:cs="Arial"/>
                <w:b/>
                <w:bCs/>
                <w:lang w:eastAsia="en-GB"/>
              </w:rPr>
            </w:pPr>
            <w:r w:rsidRPr="00D355FF">
              <w:rPr>
                <w:rFonts w:eastAsia="Times New Roman" w:cs="Arial"/>
                <w:b/>
                <w:bCs/>
                <w:lang w:eastAsia="en-GB"/>
              </w:rPr>
              <w:t>£m</w:t>
            </w:r>
          </w:p>
        </w:tc>
      </w:tr>
      <w:tr w:rsidR="006C72FB" w14:paraId="6235ABBC" w14:textId="77777777" w:rsidTr="009574D9">
        <w:trPr>
          <w:trHeight w:val="280"/>
        </w:trPr>
        <w:tc>
          <w:tcPr>
            <w:tcW w:w="3379" w:type="dxa"/>
            <w:shd w:val="clear" w:color="auto" w:fill="auto"/>
            <w:noWrap/>
            <w:vAlign w:val="center"/>
            <w:hideMark/>
          </w:tcPr>
          <w:p w14:paraId="4EB80789" w14:textId="77777777" w:rsidR="009574D9" w:rsidRPr="00D355FF" w:rsidRDefault="00A854D0" w:rsidP="009574D9">
            <w:pPr>
              <w:autoSpaceDE/>
              <w:autoSpaceDN/>
              <w:adjustRightInd/>
              <w:spacing w:after="0"/>
              <w:rPr>
                <w:rFonts w:eastAsia="Times New Roman" w:cs="Arial"/>
                <w:lang w:eastAsia="en-GB"/>
              </w:rPr>
            </w:pPr>
            <w:r w:rsidRPr="00D355FF">
              <w:rPr>
                <w:rFonts w:eastAsia="Times New Roman" w:cs="Arial"/>
                <w:lang w:eastAsia="en-GB"/>
              </w:rPr>
              <w:t>Adults Services</w:t>
            </w:r>
          </w:p>
        </w:tc>
        <w:tc>
          <w:tcPr>
            <w:tcW w:w="1127" w:type="dxa"/>
            <w:shd w:val="clear" w:color="auto" w:fill="auto"/>
            <w:noWrap/>
            <w:vAlign w:val="center"/>
          </w:tcPr>
          <w:p w14:paraId="0505EBF0" w14:textId="35E450C1" w:rsidR="009574D9" w:rsidRPr="00D355FF" w:rsidRDefault="00A854D0" w:rsidP="009574D9">
            <w:pPr>
              <w:autoSpaceDE/>
              <w:autoSpaceDN/>
              <w:adjustRightInd/>
              <w:spacing w:after="0"/>
              <w:jc w:val="right"/>
              <w:rPr>
                <w:rFonts w:eastAsia="Times New Roman" w:cs="Arial"/>
                <w:lang w:eastAsia="en-GB"/>
              </w:rPr>
            </w:pPr>
            <w:r w:rsidRPr="00D355FF">
              <w:rPr>
                <w:rFonts w:cs="Arial"/>
              </w:rPr>
              <w:t>12.452</w:t>
            </w:r>
          </w:p>
        </w:tc>
        <w:tc>
          <w:tcPr>
            <w:tcW w:w="1127" w:type="dxa"/>
            <w:shd w:val="clear" w:color="auto" w:fill="auto"/>
            <w:noWrap/>
            <w:vAlign w:val="center"/>
          </w:tcPr>
          <w:p w14:paraId="4F390F82" w14:textId="12FAD0A3" w:rsidR="009574D9" w:rsidRPr="00D355FF" w:rsidRDefault="00A854D0" w:rsidP="009574D9">
            <w:pPr>
              <w:autoSpaceDE/>
              <w:autoSpaceDN/>
              <w:adjustRightInd/>
              <w:spacing w:after="0"/>
              <w:jc w:val="right"/>
              <w:rPr>
                <w:rFonts w:eastAsia="Times New Roman" w:cs="Arial"/>
                <w:lang w:eastAsia="en-GB"/>
              </w:rPr>
            </w:pPr>
            <w:r w:rsidRPr="00D355FF">
              <w:rPr>
                <w:rFonts w:cs="Arial"/>
              </w:rPr>
              <w:t>11.320</w:t>
            </w:r>
          </w:p>
        </w:tc>
        <w:tc>
          <w:tcPr>
            <w:tcW w:w="1128" w:type="dxa"/>
            <w:shd w:val="clear" w:color="auto" w:fill="auto"/>
            <w:noWrap/>
            <w:vAlign w:val="center"/>
          </w:tcPr>
          <w:p w14:paraId="5B14C657" w14:textId="3B22AC7F" w:rsidR="009574D9" w:rsidRPr="00D355FF" w:rsidRDefault="00A854D0" w:rsidP="009574D9">
            <w:pPr>
              <w:autoSpaceDE/>
              <w:autoSpaceDN/>
              <w:adjustRightInd/>
              <w:spacing w:after="0"/>
              <w:jc w:val="right"/>
              <w:rPr>
                <w:rFonts w:eastAsia="Times New Roman" w:cs="Arial"/>
                <w:lang w:eastAsia="en-GB"/>
              </w:rPr>
            </w:pPr>
            <w:r w:rsidRPr="00D355FF">
              <w:rPr>
                <w:rFonts w:cs="Arial"/>
              </w:rPr>
              <w:t>11.320</w:t>
            </w:r>
          </w:p>
        </w:tc>
        <w:tc>
          <w:tcPr>
            <w:tcW w:w="1127" w:type="dxa"/>
            <w:vAlign w:val="center"/>
          </w:tcPr>
          <w:p w14:paraId="0934D9DB" w14:textId="2ED530FC" w:rsidR="009574D9" w:rsidRPr="00D355FF" w:rsidRDefault="00A854D0" w:rsidP="009574D9">
            <w:pPr>
              <w:autoSpaceDE/>
              <w:autoSpaceDN/>
              <w:adjustRightInd/>
              <w:spacing w:after="0"/>
              <w:jc w:val="right"/>
              <w:rPr>
                <w:rFonts w:eastAsia="Times New Roman" w:cs="Arial"/>
                <w:b/>
                <w:bCs/>
                <w:lang w:eastAsia="en-GB"/>
              </w:rPr>
            </w:pPr>
            <w:r w:rsidRPr="00D355FF">
              <w:rPr>
                <w:rFonts w:cs="Arial"/>
              </w:rPr>
              <w:t>11.850</w:t>
            </w:r>
          </w:p>
        </w:tc>
        <w:tc>
          <w:tcPr>
            <w:tcW w:w="1128" w:type="dxa"/>
            <w:shd w:val="clear" w:color="auto" w:fill="auto"/>
            <w:noWrap/>
            <w:vAlign w:val="center"/>
          </w:tcPr>
          <w:p w14:paraId="4709E8D2" w14:textId="441E35E0" w:rsidR="009574D9" w:rsidRPr="00D355FF" w:rsidRDefault="00A854D0" w:rsidP="009574D9">
            <w:pPr>
              <w:autoSpaceDE/>
              <w:autoSpaceDN/>
              <w:adjustRightInd/>
              <w:spacing w:after="0"/>
              <w:jc w:val="right"/>
              <w:rPr>
                <w:rFonts w:eastAsia="Times New Roman" w:cs="Arial"/>
                <w:b/>
                <w:bCs/>
                <w:lang w:eastAsia="en-GB"/>
              </w:rPr>
            </w:pPr>
            <w:r w:rsidRPr="00D355FF">
              <w:rPr>
                <w:rFonts w:cs="Arial"/>
                <w:b/>
                <w:bCs/>
              </w:rPr>
              <w:t>46.942</w:t>
            </w:r>
          </w:p>
        </w:tc>
      </w:tr>
      <w:tr w:rsidR="006C72FB" w14:paraId="2B7B49C4" w14:textId="77777777" w:rsidTr="00E67382">
        <w:trPr>
          <w:trHeight w:val="280"/>
        </w:trPr>
        <w:tc>
          <w:tcPr>
            <w:tcW w:w="3379" w:type="dxa"/>
            <w:shd w:val="clear" w:color="auto" w:fill="auto"/>
            <w:noWrap/>
            <w:vAlign w:val="center"/>
            <w:hideMark/>
          </w:tcPr>
          <w:p w14:paraId="400A3745" w14:textId="77777777" w:rsidR="009574D9" w:rsidRPr="00D355FF" w:rsidRDefault="00A854D0" w:rsidP="009574D9">
            <w:pPr>
              <w:autoSpaceDE/>
              <w:autoSpaceDN/>
              <w:adjustRightInd/>
              <w:spacing w:after="0"/>
              <w:rPr>
                <w:rFonts w:eastAsia="Times New Roman" w:cs="Arial"/>
                <w:lang w:eastAsia="en-GB"/>
              </w:rPr>
            </w:pPr>
            <w:r w:rsidRPr="00D355FF">
              <w:rPr>
                <w:rFonts w:eastAsia="Times New Roman" w:cs="Arial"/>
                <w:lang w:eastAsia="en-GB"/>
              </w:rPr>
              <w:t>Children's Services</w:t>
            </w:r>
          </w:p>
        </w:tc>
        <w:tc>
          <w:tcPr>
            <w:tcW w:w="1127" w:type="dxa"/>
            <w:shd w:val="clear" w:color="auto" w:fill="auto"/>
            <w:noWrap/>
            <w:vAlign w:val="center"/>
          </w:tcPr>
          <w:p w14:paraId="62F72217" w14:textId="413788BA" w:rsidR="009574D9" w:rsidRPr="00D355FF" w:rsidRDefault="00A854D0" w:rsidP="009574D9">
            <w:pPr>
              <w:autoSpaceDE/>
              <w:autoSpaceDN/>
              <w:adjustRightInd/>
              <w:spacing w:after="0"/>
              <w:jc w:val="right"/>
              <w:rPr>
                <w:rFonts w:eastAsia="Times New Roman" w:cs="Arial"/>
                <w:lang w:eastAsia="en-GB"/>
              </w:rPr>
            </w:pPr>
            <w:r w:rsidRPr="00D355FF">
              <w:rPr>
                <w:rFonts w:cs="Arial"/>
              </w:rPr>
              <w:t>18.048</w:t>
            </w:r>
          </w:p>
        </w:tc>
        <w:tc>
          <w:tcPr>
            <w:tcW w:w="1127" w:type="dxa"/>
            <w:shd w:val="clear" w:color="auto" w:fill="auto"/>
            <w:noWrap/>
            <w:vAlign w:val="center"/>
          </w:tcPr>
          <w:p w14:paraId="3DE3A5E5" w14:textId="04737B17" w:rsidR="009574D9" w:rsidRPr="00D355FF" w:rsidRDefault="00A854D0" w:rsidP="009574D9">
            <w:pPr>
              <w:autoSpaceDE/>
              <w:autoSpaceDN/>
              <w:adjustRightInd/>
              <w:spacing w:after="0"/>
              <w:jc w:val="right"/>
              <w:rPr>
                <w:rFonts w:eastAsia="Times New Roman" w:cs="Arial"/>
                <w:lang w:eastAsia="en-GB"/>
              </w:rPr>
            </w:pPr>
            <w:r w:rsidRPr="00D355FF">
              <w:rPr>
                <w:rFonts w:cs="Arial"/>
              </w:rPr>
              <w:t>4.456</w:t>
            </w:r>
          </w:p>
        </w:tc>
        <w:tc>
          <w:tcPr>
            <w:tcW w:w="1128" w:type="dxa"/>
            <w:shd w:val="clear" w:color="auto" w:fill="auto"/>
            <w:noWrap/>
            <w:vAlign w:val="center"/>
          </w:tcPr>
          <w:p w14:paraId="61601E5A" w14:textId="5D45DF3F" w:rsidR="009574D9" w:rsidRPr="00D355FF" w:rsidRDefault="00A854D0" w:rsidP="009574D9">
            <w:pPr>
              <w:autoSpaceDE/>
              <w:autoSpaceDN/>
              <w:adjustRightInd/>
              <w:spacing w:after="0"/>
              <w:jc w:val="right"/>
              <w:rPr>
                <w:rFonts w:eastAsia="Times New Roman" w:cs="Arial"/>
                <w:lang w:eastAsia="en-GB"/>
              </w:rPr>
            </w:pPr>
            <w:r w:rsidRPr="00D355FF">
              <w:rPr>
                <w:rFonts w:cs="Arial"/>
              </w:rPr>
              <w:t>1.874</w:t>
            </w:r>
          </w:p>
        </w:tc>
        <w:tc>
          <w:tcPr>
            <w:tcW w:w="1127" w:type="dxa"/>
            <w:vAlign w:val="center"/>
          </w:tcPr>
          <w:p w14:paraId="247D193E" w14:textId="5170F6AA" w:rsidR="009574D9" w:rsidRPr="00D355FF" w:rsidRDefault="00A854D0" w:rsidP="009574D9">
            <w:pPr>
              <w:autoSpaceDE/>
              <w:autoSpaceDN/>
              <w:adjustRightInd/>
              <w:spacing w:after="0"/>
              <w:jc w:val="right"/>
              <w:rPr>
                <w:rFonts w:eastAsia="Times New Roman" w:cs="Arial"/>
                <w:b/>
                <w:bCs/>
                <w:lang w:eastAsia="en-GB"/>
              </w:rPr>
            </w:pPr>
            <w:r w:rsidRPr="00D355FF">
              <w:rPr>
                <w:rFonts w:cs="Arial"/>
              </w:rPr>
              <w:t>2.087</w:t>
            </w:r>
          </w:p>
        </w:tc>
        <w:tc>
          <w:tcPr>
            <w:tcW w:w="1128" w:type="dxa"/>
            <w:shd w:val="clear" w:color="auto" w:fill="auto"/>
            <w:noWrap/>
            <w:vAlign w:val="center"/>
          </w:tcPr>
          <w:p w14:paraId="3F794C92" w14:textId="6A05D666" w:rsidR="009574D9" w:rsidRPr="00D355FF" w:rsidRDefault="00A854D0" w:rsidP="009574D9">
            <w:pPr>
              <w:autoSpaceDE/>
              <w:autoSpaceDN/>
              <w:adjustRightInd/>
              <w:spacing w:after="0"/>
              <w:jc w:val="right"/>
              <w:rPr>
                <w:rFonts w:eastAsia="Times New Roman" w:cs="Arial"/>
                <w:b/>
                <w:bCs/>
                <w:lang w:eastAsia="en-GB"/>
              </w:rPr>
            </w:pPr>
            <w:r w:rsidRPr="00D355FF">
              <w:rPr>
                <w:rFonts w:cs="Arial"/>
                <w:b/>
                <w:bCs/>
              </w:rPr>
              <w:t>26.465</w:t>
            </w:r>
          </w:p>
        </w:tc>
      </w:tr>
      <w:tr w:rsidR="006C72FB" w14:paraId="6D2AF930" w14:textId="77777777" w:rsidTr="00E67382">
        <w:trPr>
          <w:trHeight w:val="280"/>
        </w:trPr>
        <w:tc>
          <w:tcPr>
            <w:tcW w:w="3379" w:type="dxa"/>
            <w:shd w:val="clear" w:color="auto" w:fill="auto"/>
            <w:noWrap/>
            <w:vAlign w:val="center"/>
            <w:hideMark/>
          </w:tcPr>
          <w:p w14:paraId="33C9BE0B" w14:textId="77777777" w:rsidR="009574D9" w:rsidRPr="00D355FF" w:rsidRDefault="00A854D0" w:rsidP="009574D9">
            <w:pPr>
              <w:autoSpaceDE/>
              <w:autoSpaceDN/>
              <w:adjustRightInd/>
              <w:spacing w:after="0"/>
              <w:rPr>
                <w:rFonts w:eastAsia="Times New Roman" w:cs="Arial"/>
                <w:lang w:eastAsia="en-GB"/>
              </w:rPr>
            </w:pPr>
            <w:r w:rsidRPr="00D355FF">
              <w:rPr>
                <w:rFonts w:eastAsia="Times New Roman" w:cs="Arial"/>
                <w:lang w:eastAsia="en-GB"/>
              </w:rPr>
              <w:t>Waste Services</w:t>
            </w:r>
          </w:p>
        </w:tc>
        <w:tc>
          <w:tcPr>
            <w:tcW w:w="1127" w:type="dxa"/>
            <w:shd w:val="clear" w:color="auto" w:fill="auto"/>
            <w:noWrap/>
            <w:vAlign w:val="center"/>
          </w:tcPr>
          <w:p w14:paraId="5D8C7DAB" w14:textId="58E9452B" w:rsidR="009574D9" w:rsidRPr="00D355FF" w:rsidRDefault="00A854D0" w:rsidP="009574D9">
            <w:pPr>
              <w:autoSpaceDE/>
              <w:autoSpaceDN/>
              <w:adjustRightInd/>
              <w:spacing w:after="0"/>
              <w:jc w:val="right"/>
              <w:rPr>
                <w:rFonts w:eastAsia="Times New Roman" w:cs="Arial"/>
                <w:lang w:eastAsia="en-GB"/>
              </w:rPr>
            </w:pPr>
            <w:r w:rsidRPr="00D355FF">
              <w:rPr>
                <w:rFonts w:cs="Arial"/>
              </w:rPr>
              <w:t>0.000</w:t>
            </w:r>
          </w:p>
        </w:tc>
        <w:tc>
          <w:tcPr>
            <w:tcW w:w="1127" w:type="dxa"/>
            <w:shd w:val="clear" w:color="auto" w:fill="auto"/>
            <w:noWrap/>
            <w:vAlign w:val="center"/>
          </w:tcPr>
          <w:p w14:paraId="71BDE282" w14:textId="080F78B6" w:rsidR="009574D9" w:rsidRPr="00D355FF" w:rsidRDefault="00A854D0" w:rsidP="009574D9">
            <w:pPr>
              <w:autoSpaceDE/>
              <w:autoSpaceDN/>
              <w:adjustRightInd/>
              <w:spacing w:after="0"/>
              <w:jc w:val="right"/>
              <w:rPr>
                <w:rFonts w:eastAsia="Times New Roman" w:cs="Arial"/>
                <w:lang w:eastAsia="en-GB"/>
              </w:rPr>
            </w:pPr>
            <w:r w:rsidRPr="00D355FF">
              <w:rPr>
                <w:rFonts w:cs="Arial"/>
              </w:rPr>
              <w:t>0.000</w:t>
            </w:r>
          </w:p>
        </w:tc>
        <w:tc>
          <w:tcPr>
            <w:tcW w:w="1128" w:type="dxa"/>
            <w:shd w:val="clear" w:color="auto" w:fill="auto"/>
            <w:noWrap/>
            <w:vAlign w:val="center"/>
          </w:tcPr>
          <w:p w14:paraId="1CA789D1" w14:textId="54969BC8" w:rsidR="009574D9" w:rsidRPr="00D355FF" w:rsidRDefault="00A854D0" w:rsidP="009574D9">
            <w:pPr>
              <w:autoSpaceDE/>
              <w:autoSpaceDN/>
              <w:adjustRightInd/>
              <w:spacing w:after="0"/>
              <w:jc w:val="right"/>
              <w:rPr>
                <w:rFonts w:eastAsia="Times New Roman" w:cs="Arial"/>
                <w:lang w:eastAsia="en-GB"/>
              </w:rPr>
            </w:pPr>
            <w:r w:rsidRPr="00D355FF">
              <w:rPr>
                <w:rFonts w:cs="Arial"/>
              </w:rPr>
              <w:t>0.000</w:t>
            </w:r>
          </w:p>
        </w:tc>
        <w:tc>
          <w:tcPr>
            <w:tcW w:w="1127" w:type="dxa"/>
            <w:vAlign w:val="center"/>
          </w:tcPr>
          <w:p w14:paraId="0E74EF82" w14:textId="5F1D7350" w:rsidR="009574D9" w:rsidRPr="00D355FF" w:rsidRDefault="00A854D0" w:rsidP="009574D9">
            <w:pPr>
              <w:autoSpaceDE/>
              <w:autoSpaceDN/>
              <w:adjustRightInd/>
              <w:spacing w:after="0"/>
              <w:jc w:val="right"/>
              <w:rPr>
                <w:rFonts w:eastAsia="Times New Roman" w:cs="Arial"/>
                <w:b/>
                <w:bCs/>
                <w:lang w:eastAsia="en-GB"/>
              </w:rPr>
            </w:pPr>
            <w:r w:rsidRPr="00D355FF">
              <w:rPr>
                <w:rFonts w:cs="Arial"/>
              </w:rPr>
              <w:t>0.000</w:t>
            </w:r>
          </w:p>
        </w:tc>
        <w:tc>
          <w:tcPr>
            <w:tcW w:w="1128" w:type="dxa"/>
            <w:shd w:val="clear" w:color="auto" w:fill="auto"/>
            <w:noWrap/>
            <w:vAlign w:val="center"/>
          </w:tcPr>
          <w:p w14:paraId="625EE2AD" w14:textId="30E3344E" w:rsidR="009574D9" w:rsidRPr="00D355FF" w:rsidRDefault="00A854D0" w:rsidP="009574D9">
            <w:pPr>
              <w:autoSpaceDE/>
              <w:autoSpaceDN/>
              <w:adjustRightInd/>
              <w:spacing w:after="0"/>
              <w:jc w:val="right"/>
              <w:rPr>
                <w:rFonts w:eastAsia="Times New Roman" w:cs="Arial"/>
                <w:b/>
                <w:bCs/>
                <w:lang w:eastAsia="en-GB"/>
              </w:rPr>
            </w:pPr>
            <w:r w:rsidRPr="00D355FF">
              <w:rPr>
                <w:rFonts w:cs="Arial"/>
                <w:b/>
                <w:bCs/>
              </w:rPr>
              <w:t>0.000</w:t>
            </w:r>
          </w:p>
        </w:tc>
      </w:tr>
      <w:tr w:rsidR="006C72FB" w14:paraId="6524434F" w14:textId="77777777" w:rsidTr="00E67382">
        <w:trPr>
          <w:trHeight w:val="280"/>
        </w:trPr>
        <w:tc>
          <w:tcPr>
            <w:tcW w:w="3379" w:type="dxa"/>
            <w:shd w:val="clear" w:color="auto" w:fill="auto"/>
            <w:noWrap/>
            <w:vAlign w:val="center"/>
            <w:hideMark/>
          </w:tcPr>
          <w:p w14:paraId="24A68752" w14:textId="77777777" w:rsidR="009574D9" w:rsidRPr="00D355FF" w:rsidRDefault="00A854D0" w:rsidP="009574D9">
            <w:pPr>
              <w:autoSpaceDE/>
              <w:autoSpaceDN/>
              <w:adjustRightInd/>
              <w:spacing w:after="0"/>
              <w:rPr>
                <w:rFonts w:eastAsia="Times New Roman" w:cs="Arial"/>
                <w:lang w:eastAsia="en-GB"/>
              </w:rPr>
            </w:pPr>
            <w:r w:rsidRPr="00D355FF">
              <w:rPr>
                <w:rFonts w:eastAsia="Times New Roman" w:cs="Arial"/>
                <w:lang w:eastAsia="en-GB"/>
              </w:rPr>
              <w:t>Transport Services</w:t>
            </w:r>
          </w:p>
        </w:tc>
        <w:tc>
          <w:tcPr>
            <w:tcW w:w="1127" w:type="dxa"/>
            <w:shd w:val="clear" w:color="auto" w:fill="auto"/>
            <w:noWrap/>
            <w:vAlign w:val="center"/>
          </w:tcPr>
          <w:p w14:paraId="23A22963" w14:textId="175A565A" w:rsidR="009574D9" w:rsidRPr="00D355FF" w:rsidRDefault="00A854D0" w:rsidP="009574D9">
            <w:pPr>
              <w:autoSpaceDE/>
              <w:autoSpaceDN/>
              <w:adjustRightInd/>
              <w:spacing w:after="0"/>
              <w:jc w:val="right"/>
              <w:rPr>
                <w:rFonts w:eastAsia="Times New Roman" w:cs="Arial"/>
                <w:lang w:eastAsia="en-GB"/>
              </w:rPr>
            </w:pPr>
            <w:r w:rsidRPr="00D355FF">
              <w:rPr>
                <w:rFonts w:cs="Arial"/>
              </w:rPr>
              <w:t>1.114</w:t>
            </w:r>
          </w:p>
        </w:tc>
        <w:tc>
          <w:tcPr>
            <w:tcW w:w="1127" w:type="dxa"/>
            <w:shd w:val="clear" w:color="auto" w:fill="auto"/>
            <w:noWrap/>
            <w:vAlign w:val="center"/>
          </w:tcPr>
          <w:p w14:paraId="1F1A7137" w14:textId="7FAF6F24" w:rsidR="009574D9" w:rsidRPr="00D355FF" w:rsidRDefault="00A854D0" w:rsidP="009574D9">
            <w:pPr>
              <w:autoSpaceDE/>
              <w:autoSpaceDN/>
              <w:adjustRightInd/>
              <w:spacing w:after="0"/>
              <w:jc w:val="right"/>
              <w:rPr>
                <w:rFonts w:eastAsia="Times New Roman" w:cs="Arial"/>
                <w:lang w:eastAsia="en-GB"/>
              </w:rPr>
            </w:pPr>
            <w:r w:rsidRPr="00D355FF">
              <w:rPr>
                <w:rFonts w:cs="Arial"/>
              </w:rPr>
              <w:t>0.438</w:t>
            </w:r>
          </w:p>
        </w:tc>
        <w:tc>
          <w:tcPr>
            <w:tcW w:w="1128" w:type="dxa"/>
            <w:shd w:val="clear" w:color="auto" w:fill="auto"/>
            <w:noWrap/>
            <w:vAlign w:val="center"/>
          </w:tcPr>
          <w:p w14:paraId="547611F0" w14:textId="6BD3B4F7" w:rsidR="009574D9" w:rsidRPr="00D355FF" w:rsidRDefault="00A854D0" w:rsidP="009574D9">
            <w:pPr>
              <w:autoSpaceDE/>
              <w:autoSpaceDN/>
              <w:adjustRightInd/>
              <w:spacing w:after="0"/>
              <w:jc w:val="right"/>
              <w:rPr>
                <w:rFonts w:eastAsia="Times New Roman" w:cs="Arial"/>
                <w:lang w:eastAsia="en-GB"/>
              </w:rPr>
            </w:pPr>
            <w:r w:rsidRPr="00D355FF">
              <w:rPr>
                <w:rFonts w:cs="Arial"/>
              </w:rPr>
              <w:t>0.498</w:t>
            </w:r>
          </w:p>
        </w:tc>
        <w:tc>
          <w:tcPr>
            <w:tcW w:w="1127" w:type="dxa"/>
            <w:vAlign w:val="center"/>
          </w:tcPr>
          <w:p w14:paraId="4368F5EC" w14:textId="23253375" w:rsidR="009574D9" w:rsidRPr="00D355FF" w:rsidRDefault="00A854D0" w:rsidP="009574D9">
            <w:pPr>
              <w:autoSpaceDE/>
              <w:autoSpaceDN/>
              <w:adjustRightInd/>
              <w:spacing w:after="0"/>
              <w:jc w:val="right"/>
              <w:rPr>
                <w:rFonts w:eastAsia="Times New Roman" w:cs="Arial"/>
                <w:b/>
                <w:bCs/>
                <w:lang w:eastAsia="en-GB"/>
              </w:rPr>
            </w:pPr>
            <w:r w:rsidRPr="00D355FF">
              <w:rPr>
                <w:rFonts w:cs="Arial"/>
              </w:rPr>
              <w:t>0.561</w:t>
            </w:r>
          </w:p>
        </w:tc>
        <w:tc>
          <w:tcPr>
            <w:tcW w:w="1128" w:type="dxa"/>
            <w:shd w:val="clear" w:color="auto" w:fill="auto"/>
            <w:noWrap/>
            <w:vAlign w:val="center"/>
          </w:tcPr>
          <w:p w14:paraId="509AFE8D" w14:textId="6865E05B" w:rsidR="009574D9" w:rsidRPr="00D355FF" w:rsidRDefault="00A854D0" w:rsidP="009574D9">
            <w:pPr>
              <w:autoSpaceDE/>
              <w:autoSpaceDN/>
              <w:adjustRightInd/>
              <w:spacing w:after="0"/>
              <w:jc w:val="right"/>
              <w:rPr>
                <w:rFonts w:eastAsia="Times New Roman" w:cs="Arial"/>
                <w:b/>
                <w:bCs/>
                <w:lang w:eastAsia="en-GB"/>
              </w:rPr>
            </w:pPr>
            <w:r w:rsidRPr="00D355FF">
              <w:rPr>
                <w:rFonts w:cs="Arial"/>
                <w:b/>
                <w:bCs/>
              </w:rPr>
              <w:t>2.611</w:t>
            </w:r>
          </w:p>
        </w:tc>
      </w:tr>
      <w:tr w:rsidR="006C72FB" w14:paraId="7AF8E770" w14:textId="77777777" w:rsidTr="00E67382">
        <w:trPr>
          <w:trHeight w:val="280"/>
        </w:trPr>
        <w:tc>
          <w:tcPr>
            <w:tcW w:w="3379" w:type="dxa"/>
            <w:shd w:val="clear" w:color="auto" w:fill="auto"/>
            <w:noWrap/>
            <w:vAlign w:val="center"/>
            <w:hideMark/>
          </w:tcPr>
          <w:p w14:paraId="3B37109B" w14:textId="77777777" w:rsidR="009574D9" w:rsidRPr="00D355FF" w:rsidRDefault="00A854D0" w:rsidP="009574D9">
            <w:pPr>
              <w:autoSpaceDE/>
              <w:autoSpaceDN/>
              <w:adjustRightInd/>
              <w:spacing w:after="0"/>
              <w:rPr>
                <w:rFonts w:eastAsia="Times New Roman" w:cs="Arial"/>
                <w:lang w:eastAsia="en-GB"/>
              </w:rPr>
            </w:pPr>
            <w:r w:rsidRPr="00D355FF">
              <w:rPr>
                <w:rFonts w:eastAsia="Times New Roman" w:cs="Arial"/>
                <w:lang w:eastAsia="en-GB"/>
              </w:rPr>
              <w:t>Other Services</w:t>
            </w:r>
          </w:p>
        </w:tc>
        <w:tc>
          <w:tcPr>
            <w:tcW w:w="1127" w:type="dxa"/>
            <w:shd w:val="clear" w:color="auto" w:fill="auto"/>
            <w:noWrap/>
            <w:vAlign w:val="center"/>
          </w:tcPr>
          <w:p w14:paraId="4A84DB28" w14:textId="6D969D6A" w:rsidR="009574D9" w:rsidRPr="00D355FF" w:rsidRDefault="00A854D0" w:rsidP="009574D9">
            <w:pPr>
              <w:autoSpaceDE/>
              <w:autoSpaceDN/>
              <w:adjustRightInd/>
              <w:spacing w:after="0"/>
              <w:jc w:val="right"/>
              <w:rPr>
                <w:rFonts w:eastAsia="Times New Roman" w:cs="Arial"/>
                <w:lang w:eastAsia="en-GB"/>
              </w:rPr>
            </w:pPr>
            <w:r w:rsidRPr="00D355FF">
              <w:rPr>
                <w:rFonts w:cs="Arial"/>
              </w:rPr>
              <w:t>2.158</w:t>
            </w:r>
          </w:p>
        </w:tc>
        <w:tc>
          <w:tcPr>
            <w:tcW w:w="1127" w:type="dxa"/>
            <w:shd w:val="clear" w:color="auto" w:fill="auto"/>
            <w:noWrap/>
            <w:vAlign w:val="center"/>
          </w:tcPr>
          <w:p w14:paraId="65D866FE" w14:textId="42B6ADC6" w:rsidR="009574D9" w:rsidRPr="00D355FF" w:rsidRDefault="00A854D0" w:rsidP="009574D9">
            <w:pPr>
              <w:autoSpaceDE/>
              <w:autoSpaceDN/>
              <w:adjustRightInd/>
              <w:spacing w:after="0"/>
              <w:jc w:val="right"/>
              <w:rPr>
                <w:rFonts w:eastAsia="Times New Roman" w:cs="Arial"/>
                <w:lang w:eastAsia="en-GB"/>
              </w:rPr>
            </w:pPr>
            <w:r w:rsidRPr="00D355FF">
              <w:rPr>
                <w:rFonts w:cs="Arial"/>
              </w:rPr>
              <w:t>0.134</w:t>
            </w:r>
          </w:p>
        </w:tc>
        <w:tc>
          <w:tcPr>
            <w:tcW w:w="1128" w:type="dxa"/>
            <w:shd w:val="clear" w:color="auto" w:fill="auto"/>
            <w:noWrap/>
            <w:vAlign w:val="center"/>
          </w:tcPr>
          <w:p w14:paraId="39F419D5" w14:textId="6276C0BB" w:rsidR="009574D9" w:rsidRPr="00D355FF" w:rsidRDefault="00A854D0" w:rsidP="009574D9">
            <w:pPr>
              <w:autoSpaceDE/>
              <w:autoSpaceDN/>
              <w:adjustRightInd/>
              <w:spacing w:after="0"/>
              <w:jc w:val="right"/>
              <w:rPr>
                <w:rFonts w:eastAsia="Times New Roman" w:cs="Arial"/>
                <w:lang w:eastAsia="en-GB"/>
              </w:rPr>
            </w:pPr>
            <w:r w:rsidRPr="00D355FF">
              <w:rPr>
                <w:rFonts w:cs="Arial"/>
              </w:rPr>
              <w:t>0.136</w:t>
            </w:r>
          </w:p>
        </w:tc>
        <w:tc>
          <w:tcPr>
            <w:tcW w:w="1127" w:type="dxa"/>
            <w:vAlign w:val="center"/>
          </w:tcPr>
          <w:p w14:paraId="01E6948F" w14:textId="2C1B528F" w:rsidR="009574D9" w:rsidRPr="00D355FF" w:rsidRDefault="00A854D0" w:rsidP="009574D9">
            <w:pPr>
              <w:autoSpaceDE/>
              <w:autoSpaceDN/>
              <w:adjustRightInd/>
              <w:spacing w:after="0"/>
              <w:jc w:val="right"/>
              <w:rPr>
                <w:rFonts w:eastAsia="Times New Roman" w:cs="Arial"/>
                <w:b/>
                <w:bCs/>
                <w:lang w:eastAsia="en-GB"/>
              </w:rPr>
            </w:pPr>
            <w:r w:rsidRPr="00D355FF">
              <w:rPr>
                <w:rFonts w:cs="Arial"/>
              </w:rPr>
              <w:t>0.136</w:t>
            </w:r>
          </w:p>
        </w:tc>
        <w:tc>
          <w:tcPr>
            <w:tcW w:w="1128" w:type="dxa"/>
            <w:shd w:val="clear" w:color="auto" w:fill="auto"/>
            <w:noWrap/>
            <w:vAlign w:val="center"/>
          </w:tcPr>
          <w:p w14:paraId="648FC802" w14:textId="16F13A57" w:rsidR="009574D9" w:rsidRPr="00D355FF" w:rsidRDefault="00A854D0" w:rsidP="009574D9">
            <w:pPr>
              <w:autoSpaceDE/>
              <w:autoSpaceDN/>
              <w:adjustRightInd/>
              <w:spacing w:after="0"/>
              <w:jc w:val="right"/>
              <w:rPr>
                <w:rFonts w:eastAsia="Times New Roman" w:cs="Arial"/>
                <w:b/>
                <w:bCs/>
                <w:lang w:eastAsia="en-GB"/>
              </w:rPr>
            </w:pPr>
            <w:r w:rsidRPr="00D355FF">
              <w:rPr>
                <w:rFonts w:cs="Arial"/>
                <w:b/>
                <w:bCs/>
              </w:rPr>
              <w:t>2.564</w:t>
            </w:r>
          </w:p>
        </w:tc>
      </w:tr>
      <w:tr w:rsidR="006C72FB" w14:paraId="5F77C64B" w14:textId="77777777" w:rsidTr="00E67382">
        <w:trPr>
          <w:trHeight w:val="280"/>
        </w:trPr>
        <w:tc>
          <w:tcPr>
            <w:tcW w:w="3379" w:type="dxa"/>
            <w:shd w:val="clear" w:color="auto" w:fill="auto"/>
            <w:noWrap/>
            <w:vAlign w:val="center"/>
            <w:hideMark/>
          </w:tcPr>
          <w:p w14:paraId="39D3B76A" w14:textId="77777777" w:rsidR="009574D9" w:rsidRPr="00D355FF" w:rsidRDefault="00A854D0" w:rsidP="009574D9">
            <w:pPr>
              <w:autoSpaceDE/>
              <w:autoSpaceDN/>
              <w:adjustRightInd/>
              <w:spacing w:after="0"/>
              <w:jc w:val="left"/>
              <w:rPr>
                <w:rFonts w:eastAsia="Times New Roman" w:cs="Arial"/>
                <w:b/>
                <w:bCs/>
                <w:lang w:eastAsia="en-GB"/>
              </w:rPr>
            </w:pPr>
            <w:r w:rsidRPr="00D355FF">
              <w:rPr>
                <w:rFonts w:eastAsia="Times New Roman" w:cs="Arial"/>
                <w:b/>
                <w:bCs/>
                <w:lang w:eastAsia="en-GB"/>
              </w:rPr>
              <w:t>Revised Demand Requirements</w:t>
            </w:r>
          </w:p>
        </w:tc>
        <w:tc>
          <w:tcPr>
            <w:tcW w:w="1127" w:type="dxa"/>
            <w:shd w:val="clear" w:color="auto" w:fill="auto"/>
            <w:noWrap/>
            <w:vAlign w:val="center"/>
          </w:tcPr>
          <w:p w14:paraId="0A301D93" w14:textId="2FA17117" w:rsidR="009574D9" w:rsidRPr="00D355FF" w:rsidRDefault="00A854D0" w:rsidP="009574D9">
            <w:pPr>
              <w:autoSpaceDE/>
              <w:autoSpaceDN/>
              <w:adjustRightInd/>
              <w:spacing w:after="0"/>
              <w:jc w:val="right"/>
              <w:rPr>
                <w:rFonts w:eastAsia="Times New Roman" w:cs="Arial"/>
                <w:b/>
                <w:bCs/>
                <w:lang w:eastAsia="en-GB"/>
              </w:rPr>
            </w:pPr>
            <w:r w:rsidRPr="00D355FF">
              <w:rPr>
                <w:rFonts w:cs="Arial"/>
                <w:b/>
                <w:bCs/>
              </w:rPr>
              <w:t>33.772</w:t>
            </w:r>
          </w:p>
        </w:tc>
        <w:tc>
          <w:tcPr>
            <w:tcW w:w="1127" w:type="dxa"/>
            <w:shd w:val="clear" w:color="auto" w:fill="auto"/>
            <w:noWrap/>
            <w:vAlign w:val="center"/>
          </w:tcPr>
          <w:p w14:paraId="72EB4F7D" w14:textId="2573D001" w:rsidR="009574D9" w:rsidRPr="00D355FF" w:rsidRDefault="00A854D0" w:rsidP="009574D9">
            <w:pPr>
              <w:autoSpaceDE/>
              <w:autoSpaceDN/>
              <w:adjustRightInd/>
              <w:spacing w:after="0"/>
              <w:jc w:val="right"/>
              <w:rPr>
                <w:rFonts w:eastAsia="Times New Roman" w:cs="Arial"/>
                <w:b/>
                <w:bCs/>
                <w:lang w:eastAsia="en-GB"/>
              </w:rPr>
            </w:pPr>
            <w:r w:rsidRPr="00D355FF">
              <w:rPr>
                <w:rFonts w:cs="Arial"/>
                <w:b/>
                <w:bCs/>
              </w:rPr>
              <w:t>16.348</w:t>
            </w:r>
          </w:p>
        </w:tc>
        <w:tc>
          <w:tcPr>
            <w:tcW w:w="1128" w:type="dxa"/>
            <w:shd w:val="clear" w:color="auto" w:fill="auto"/>
            <w:noWrap/>
            <w:vAlign w:val="center"/>
          </w:tcPr>
          <w:p w14:paraId="48556C5D" w14:textId="09F46154" w:rsidR="009574D9" w:rsidRPr="00D355FF" w:rsidRDefault="00A854D0" w:rsidP="009574D9">
            <w:pPr>
              <w:autoSpaceDE/>
              <w:autoSpaceDN/>
              <w:adjustRightInd/>
              <w:spacing w:after="0"/>
              <w:jc w:val="right"/>
              <w:rPr>
                <w:rFonts w:eastAsia="Times New Roman" w:cs="Arial"/>
                <w:b/>
                <w:bCs/>
                <w:lang w:eastAsia="en-GB"/>
              </w:rPr>
            </w:pPr>
            <w:r w:rsidRPr="00D355FF">
              <w:rPr>
                <w:rFonts w:cs="Arial"/>
                <w:b/>
                <w:bCs/>
              </w:rPr>
              <w:t>13.828</w:t>
            </w:r>
          </w:p>
        </w:tc>
        <w:tc>
          <w:tcPr>
            <w:tcW w:w="1127" w:type="dxa"/>
            <w:vAlign w:val="center"/>
          </w:tcPr>
          <w:p w14:paraId="3A8D8E7B" w14:textId="4B993E6E" w:rsidR="009574D9" w:rsidRPr="00D355FF" w:rsidRDefault="00A854D0" w:rsidP="009574D9">
            <w:pPr>
              <w:autoSpaceDE/>
              <w:autoSpaceDN/>
              <w:adjustRightInd/>
              <w:spacing w:after="0"/>
              <w:jc w:val="right"/>
              <w:rPr>
                <w:rFonts w:eastAsia="Times New Roman" w:cs="Arial"/>
                <w:b/>
                <w:bCs/>
                <w:lang w:eastAsia="en-GB"/>
              </w:rPr>
            </w:pPr>
            <w:r w:rsidRPr="00D355FF">
              <w:rPr>
                <w:rFonts w:cs="Arial"/>
                <w:b/>
                <w:bCs/>
              </w:rPr>
              <w:t>14.634</w:t>
            </w:r>
          </w:p>
        </w:tc>
        <w:tc>
          <w:tcPr>
            <w:tcW w:w="1128" w:type="dxa"/>
            <w:shd w:val="clear" w:color="auto" w:fill="auto"/>
            <w:noWrap/>
            <w:vAlign w:val="center"/>
          </w:tcPr>
          <w:p w14:paraId="102B12AA" w14:textId="794E3539" w:rsidR="009574D9" w:rsidRPr="00D355FF" w:rsidRDefault="00A854D0" w:rsidP="009574D9">
            <w:pPr>
              <w:autoSpaceDE/>
              <w:autoSpaceDN/>
              <w:adjustRightInd/>
              <w:spacing w:after="0"/>
              <w:jc w:val="right"/>
              <w:rPr>
                <w:rFonts w:eastAsia="Times New Roman" w:cs="Arial"/>
                <w:b/>
                <w:bCs/>
                <w:lang w:eastAsia="en-GB"/>
              </w:rPr>
            </w:pPr>
            <w:r w:rsidRPr="00D355FF">
              <w:rPr>
                <w:rFonts w:cs="Arial"/>
                <w:b/>
                <w:bCs/>
              </w:rPr>
              <w:t>78.582</w:t>
            </w:r>
          </w:p>
        </w:tc>
      </w:tr>
      <w:tr w:rsidR="006C72FB" w14:paraId="68DB8C26" w14:textId="77777777" w:rsidTr="00E67382">
        <w:trPr>
          <w:trHeight w:val="280"/>
        </w:trPr>
        <w:tc>
          <w:tcPr>
            <w:tcW w:w="3379" w:type="dxa"/>
            <w:shd w:val="clear" w:color="auto" w:fill="auto"/>
            <w:noWrap/>
            <w:vAlign w:val="center"/>
            <w:hideMark/>
          </w:tcPr>
          <w:p w14:paraId="10FF107A" w14:textId="77777777" w:rsidR="006F5C55" w:rsidRPr="00D355FF" w:rsidRDefault="00A854D0" w:rsidP="0046463C">
            <w:pPr>
              <w:autoSpaceDE/>
              <w:autoSpaceDN/>
              <w:adjustRightInd/>
              <w:spacing w:after="0"/>
              <w:rPr>
                <w:rFonts w:eastAsia="Times New Roman" w:cs="Arial"/>
                <w:lang w:eastAsia="en-GB"/>
              </w:rPr>
            </w:pPr>
            <w:r w:rsidRPr="00D355FF">
              <w:rPr>
                <w:rFonts w:eastAsia="Times New Roman" w:cs="Arial"/>
                <w:lang w:eastAsia="en-GB"/>
              </w:rPr>
              <w:t> </w:t>
            </w:r>
          </w:p>
        </w:tc>
        <w:tc>
          <w:tcPr>
            <w:tcW w:w="1127" w:type="dxa"/>
            <w:shd w:val="clear" w:color="auto" w:fill="auto"/>
            <w:noWrap/>
            <w:vAlign w:val="center"/>
          </w:tcPr>
          <w:p w14:paraId="2427DB02" w14:textId="1DE1CBEA" w:rsidR="006F5C55" w:rsidRPr="00D355FF" w:rsidRDefault="006F5C55" w:rsidP="009574D9">
            <w:pPr>
              <w:autoSpaceDE/>
              <w:autoSpaceDN/>
              <w:adjustRightInd/>
              <w:spacing w:after="0"/>
              <w:jc w:val="right"/>
              <w:rPr>
                <w:rFonts w:eastAsia="Times New Roman" w:cs="Arial"/>
                <w:lang w:eastAsia="en-GB"/>
              </w:rPr>
            </w:pPr>
          </w:p>
        </w:tc>
        <w:tc>
          <w:tcPr>
            <w:tcW w:w="1127" w:type="dxa"/>
            <w:shd w:val="clear" w:color="auto" w:fill="auto"/>
            <w:noWrap/>
            <w:vAlign w:val="center"/>
          </w:tcPr>
          <w:p w14:paraId="2809A888" w14:textId="102606DB" w:rsidR="006F5C55" w:rsidRPr="00D355FF" w:rsidRDefault="006F5C55" w:rsidP="009574D9">
            <w:pPr>
              <w:autoSpaceDE/>
              <w:autoSpaceDN/>
              <w:adjustRightInd/>
              <w:spacing w:after="0"/>
              <w:jc w:val="right"/>
              <w:rPr>
                <w:rFonts w:eastAsia="Times New Roman" w:cs="Arial"/>
                <w:b/>
                <w:bCs/>
                <w:lang w:eastAsia="en-GB"/>
              </w:rPr>
            </w:pPr>
          </w:p>
        </w:tc>
        <w:tc>
          <w:tcPr>
            <w:tcW w:w="1128" w:type="dxa"/>
            <w:shd w:val="clear" w:color="auto" w:fill="auto"/>
            <w:noWrap/>
            <w:vAlign w:val="center"/>
          </w:tcPr>
          <w:p w14:paraId="159323DA" w14:textId="68D6B68C" w:rsidR="006F5C55" w:rsidRPr="00D355FF" w:rsidRDefault="006F5C55" w:rsidP="009574D9">
            <w:pPr>
              <w:autoSpaceDE/>
              <w:autoSpaceDN/>
              <w:adjustRightInd/>
              <w:spacing w:after="0"/>
              <w:jc w:val="right"/>
              <w:rPr>
                <w:rFonts w:eastAsia="Times New Roman" w:cs="Arial"/>
                <w:b/>
                <w:bCs/>
                <w:lang w:eastAsia="en-GB"/>
              </w:rPr>
            </w:pPr>
          </w:p>
        </w:tc>
        <w:tc>
          <w:tcPr>
            <w:tcW w:w="1127" w:type="dxa"/>
            <w:vAlign w:val="center"/>
          </w:tcPr>
          <w:p w14:paraId="156827DA" w14:textId="77777777" w:rsidR="006F5C55" w:rsidRPr="00D355FF" w:rsidRDefault="006F5C55" w:rsidP="00B364D2">
            <w:pPr>
              <w:autoSpaceDE/>
              <w:autoSpaceDN/>
              <w:adjustRightInd/>
              <w:spacing w:after="0"/>
              <w:jc w:val="right"/>
              <w:rPr>
                <w:rFonts w:eastAsia="Times New Roman" w:cs="Arial"/>
                <w:sz w:val="20"/>
                <w:szCs w:val="20"/>
                <w:lang w:eastAsia="en-GB"/>
              </w:rPr>
            </w:pPr>
          </w:p>
        </w:tc>
        <w:tc>
          <w:tcPr>
            <w:tcW w:w="1128" w:type="dxa"/>
            <w:shd w:val="clear" w:color="auto" w:fill="auto"/>
            <w:noWrap/>
            <w:vAlign w:val="center"/>
          </w:tcPr>
          <w:p w14:paraId="48D32FBF" w14:textId="72D5F6C0" w:rsidR="006F5C55" w:rsidRPr="00D355FF" w:rsidRDefault="006F5C55" w:rsidP="00B364D2">
            <w:pPr>
              <w:autoSpaceDE/>
              <w:autoSpaceDN/>
              <w:adjustRightInd/>
              <w:spacing w:after="0"/>
              <w:jc w:val="right"/>
              <w:rPr>
                <w:rFonts w:eastAsia="Times New Roman" w:cs="Arial"/>
                <w:sz w:val="20"/>
                <w:szCs w:val="20"/>
                <w:lang w:eastAsia="en-GB"/>
              </w:rPr>
            </w:pPr>
          </w:p>
        </w:tc>
      </w:tr>
      <w:tr w:rsidR="006C72FB" w14:paraId="624019C1" w14:textId="77777777" w:rsidTr="00E67382">
        <w:trPr>
          <w:trHeight w:val="280"/>
        </w:trPr>
        <w:tc>
          <w:tcPr>
            <w:tcW w:w="3379" w:type="dxa"/>
            <w:shd w:val="clear" w:color="auto" w:fill="auto"/>
            <w:noWrap/>
            <w:vAlign w:val="center"/>
            <w:hideMark/>
          </w:tcPr>
          <w:p w14:paraId="499C7EDF" w14:textId="77777777" w:rsidR="006F5C55" w:rsidRPr="00D355FF" w:rsidRDefault="00A854D0" w:rsidP="0046463C">
            <w:pPr>
              <w:autoSpaceDE/>
              <w:autoSpaceDN/>
              <w:adjustRightInd/>
              <w:spacing w:after="0"/>
              <w:rPr>
                <w:rFonts w:eastAsia="Times New Roman" w:cs="Arial"/>
                <w:b/>
                <w:bCs/>
                <w:lang w:eastAsia="en-GB"/>
              </w:rPr>
            </w:pPr>
            <w:r w:rsidRPr="00D355FF">
              <w:rPr>
                <w:rFonts w:eastAsia="Times New Roman" w:cs="Arial"/>
                <w:b/>
                <w:bCs/>
                <w:lang w:eastAsia="en-GB"/>
              </w:rPr>
              <w:t>Demand – previous MTFS</w:t>
            </w:r>
          </w:p>
        </w:tc>
        <w:tc>
          <w:tcPr>
            <w:tcW w:w="1127" w:type="dxa"/>
            <w:shd w:val="clear" w:color="auto" w:fill="auto"/>
            <w:noWrap/>
            <w:vAlign w:val="center"/>
          </w:tcPr>
          <w:p w14:paraId="13BC0E86" w14:textId="6D44E17E" w:rsidR="006F5C55" w:rsidRPr="00D355FF" w:rsidRDefault="00A854D0" w:rsidP="009574D9">
            <w:pPr>
              <w:autoSpaceDE/>
              <w:autoSpaceDN/>
              <w:adjustRightInd/>
              <w:spacing w:after="0"/>
              <w:jc w:val="right"/>
              <w:rPr>
                <w:rFonts w:eastAsia="Times New Roman" w:cs="Arial"/>
                <w:b/>
                <w:bCs/>
                <w:lang w:eastAsia="en-GB"/>
              </w:rPr>
            </w:pPr>
            <w:r w:rsidRPr="00D355FF">
              <w:rPr>
                <w:rFonts w:eastAsia="Times New Roman" w:cs="Arial"/>
                <w:b/>
                <w:bCs/>
                <w:lang w:eastAsia="en-GB"/>
              </w:rPr>
              <w:t>15.723</w:t>
            </w:r>
          </w:p>
        </w:tc>
        <w:tc>
          <w:tcPr>
            <w:tcW w:w="1127" w:type="dxa"/>
            <w:shd w:val="clear" w:color="auto" w:fill="auto"/>
            <w:noWrap/>
            <w:vAlign w:val="center"/>
          </w:tcPr>
          <w:p w14:paraId="3085F888" w14:textId="068BA247" w:rsidR="006F5C55" w:rsidRPr="00D355FF" w:rsidRDefault="00A854D0" w:rsidP="009574D9">
            <w:pPr>
              <w:autoSpaceDE/>
              <w:autoSpaceDN/>
              <w:adjustRightInd/>
              <w:spacing w:after="0"/>
              <w:jc w:val="right"/>
              <w:rPr>
                <w:rFonts w:eastAsia="Times New Roman" w:cs="Arial"/>
                <w:b/>
                <w:bCs/>
                <w:lang w:eastAsia="en-GB"/>
              </w:rPr>
            </w:pPr>
            <w:r w:rsidRPr="00D355FF">
              <w:rPr>
                <w:rFonts w:eastAsia="Times New Roman" w:cs="Arial"/>
                <w:b/>
                <w:bCs/>
                <w:lang w:eastAsia="en-GB"/>
              </w:rPr>
              <w:t>11.179</w:t>
            </w:r>
          </w:p>
        </w:tc>
        <w:tc>
          <w:tcPr>
            <w:tcW w:w="1128" w:type="dxa"/>
            <w:shd w:val="clear" w:color="auto" w:fill="auto"/>
            <w:noWrap/>
            <w:vAlign w:val="center"/>
          </w:tcPr>
          <w:p w14:paraId="1E9C48AF" w14:textId="24DDB364" w:rsidR="006F5C55" w:rsidRPr="00D355FF" w:rsidRDefault="00A854D0" w:rsidP="009574D9">
            <w:pPr>
              <w:autoSpaceDE/>
              <w:autoSpaceDN/>
              <w:adjustRightInd/>
              <w:spacing w:after="0"/>
              <w:jc w:val="right"/>
              <w:rPr>
                <w:rFonts w:eastAsia="Times New Roman" w:cs="Arial"/>
                <w:b/>
                <w:bCs/>
                <w:lang w:eastAsia="en-GB"/>
              </w:rPr>
            </w:pPr>
            <w:r w:rsidRPr="00D355FF">
              <w:rPr>
                <w:rFonts w:eastAsia="Times New Roman" w:cs="Arial"/>
                <w:b/>
                <w:bCs/>
                <w:lang w:eastAsia="en-GB"/>
              </w:rPr>
              <w:t>0.000</w:t>
            </w:r>
          </w:p>
        </w:tc>
        <w:tc>
          <w:tcPr>
            <w:tcW w:w="1127" w:type="dxa"/>
            <w:vAlign w:val="center"/>
          </w:tcPr>
          <w:p w14:paraId="3548E44B" w14:textId="4A9B5B09" w:rsidR="006F5C55" w:rsidRPr="00D355FF" w:rsidRDefault="00A854D0" w:rsidP="009574D9">
            <w:pPr>
              <w:autoSpaceDE/>
              <w:autoSpaceDN/>
              <w:adjustRightInd/>
              <w:spacing w:after="0"/>
              <w:jc w:val="right"/>
              <w:rPr>
                <w:rFonts w:eastAsia="Times New Roman" w:cs="Arial"/>
                <w:b/>
                <w:bCs/>
                <w:lang w:eastAsia="en-GB"/>
              </w:rPr>
            </w:pPr>
            <w:r w:rsidRPr="00D355FF">
              <w:rPr>
                <w:rFonts w:eastAsia="Times New Roman" w:cs="Arial"/>
                <w:b/>
                <w:bCs/>
                <w:lang w:eastAsia="en-GB"/>
              </w:rPr>
              <w:t>0.000</w:t>
            </w:r>
          </w:p>
        </w:tc>
        <w:tc>
          <w:tcPr>
            <w:tcW w:w="1128" w:type="dxa"/>
            <w:shd w:val="clear" w:color="auto" w:fill="auto"/>
            <w:noWrap/>
            <w:vAlign w:val="center"/>
          </w:tcPr>
          <w:p w14:paraId="6C9D1BCB" w14:textId="64A127CB" w:rsidR="006F5C55" w:rsidRPr="00D355FF" w:rsidRDefault="00A854D0" w:rsidP="009574D9">
            <w:pPr>
              <w:autoSpaceDE/>
              <w:autoSpaceDN/>
              <w:adjustRightInd/>
              <w:spacing w:after="0"/>
              <w:jc w:val="right"/>
              <w:rPr>
                <w:rFonts w:eastAsia="Times New Roman" w:cs="Arial"/>
                <w:b/>
                <w:bCs/>
                <w:lang w:eastAsia="en-GB"/>
              </w:rPr>
            </w:pPr>
            <w:r w:rsidRPr="00D355FF">
              <w:rPr>
                <w:rFonts w:eastAsia="Times New Roman" w:cs="Arial"/>
                <w:b/>
                <w:bCs/>
                <w:lang w:eastAsia="en-GB"/>
              </w:rPr>
              <w:t>26.902</w:t>
            </w:r>
          </w:p>
        </w:tc>
      </w:tr>
      <w:tr w:rsidR="006C72FB" w14:paraId="3B54B58D" w14:textId="77777777" w:rsidTr="00E67382">
        <w:trPr>
          <w:trHeight w:val="280"/>
        </w:trPr>
        <w:tc>
          <w:tcPr>
            <w:tcW w:w="3379" w:type="dxa"/>
            <w:shd w:val="clear" w:color="auto" w:fill="auto"/>
            <w:noWrap/>
            <w:vAlign w:val="center"/>
          </w:tcPr>
          <w:p w14:paraId="5028E73D" w14:textId="77777777" w:rsidR="006F5C55" w:rsidRPr="00D355FF" w:rsidRDefault="006F5C55" w:rsidP="0046463C">
            <w:pPr>
              <w:autoSpaceDE/>
              <w:autoSpaceDN/>
              <w:adjustRightInd/>
              <w:spacing w:after="0"/>
              <w:rPr>
                <w:rFonts w:eastAsia="Times New Roman" w:cs="Arial"/>
                <w:b/>
                <w:bCs/>
                <w:lang w:eastAsia="en-GB"/>
              </w:rPr>
            </w:pPr>
          </w:p>
        </w:tc>
        <w:tc>
          <w:tcPr>
            <w:tcW w:w="1127" w:type="dxa"/>
            <w:shd w:val="clear" w:color="auto" w:fill="auto"/>
            <w:noWrap/>
            <w:vAlign w:val="center"/>
          </w:tcPr>
          <w:p w14:paraId="4C3BFF1A" w14:textId="77777777" w:rsidR="006F5C55" w:rsidRPr="00D355FF" w:rsidRDefault="006F5C55" w:rsidP="009574D9">
            <w:pPr>
              <w:autoSpaceDE/>
              <w:autoSpaceDN/>
              <w:adjustRightInd/>
              <w:spacing w:after="0"/>
              <w:jc w:val="right"/>
              <w:rPr>
                <w:rFonts w:eastAsia="Times New Roman" w:cs="Arial"/>
                <w:b/>
                <w:bCs/>
                <w:lang w:eastAsia="en-GB"/>
              </w:rPr>
            </w:pPr>
          </w:p>
        </w:tc>
        <w:tc>
          <w:tcPr>
            <w:tcW w:w="1127" w:type="dxa"/>
            <w:shd w:val="clear" w:color="auto" w:fill="auto"/>
            <w:noWrap/>
            <w:vAlign w:val="center"/>
          </w:tcPr>
          <w:p w14:paraId="34B67086" w14:textId="77777777" w:rsidR="006F5C55" w:rsidRPr="00D355FF" w:rsidRDefault="006F5C55" w:rsidP="009574D9">
            <w:pPr>
              <w:autoSpaceDE/>
              <w:autoSpaceDN/>
              <w:adjustRightInd/>
              <w:spacing w:after="0"/>
              <w:jc w:val="right"/>
              <w:rPr>
                <w:rFonts w:eastAsia="Times New Roman" w:cs="Arial"/>
                <w:b/>
                <w:bCs/>
                <w:lang w:eastAsia="en-GB"/>
              </w:rPr>
            </w:pPr>
          </w:p>
        </w:tc>
        <w:tc>
          <w:tcPr>
            <w:tcW w:w="1128" w:type="dxa"/>
            <w:shd w:val="clear" w:color="auto" w:fill="auto"/>
            <w:noWrap/>
            <w:vAlign w:val="center"/>
          </w:tcPr>
          <w:p w14:paraId="5607839E" w14:textId="77777777" w:rsidR="006F5C55" w:rsidRPr="00D355FF" w:rsidRDefault="006F5C55" w:rsidP="009574D9">
            <w:pPr>
              <w:autoSpaceDE/>
              <w:autoSpaceDN/>
              <w:adjustRightInd/>
              <w:spacing w:after="0"/>
              <w:jc w:val="right"/>
              <w:rPr>
                <w:rFonts w:eastAsia="Times New Roman" w:cs="Arial"/>
                <w:b/>
                <w:bCs/>
                <w:lang w:eastAsia="en-GB"/>
              </w:rPr>
            </w:pPr>
          </w:p>
        </w:tc>
        <w:tc>
          <w:tcPr>
            <w:tcW w:w="1127" w:type="dxa"/>
            <w:vAlign w:val="center"/>
          </w:tcPr>
          <w:p w14:paraId="0CA19B4B" w14:textId="77777777" w:rsidR="006F5C55" w:rsidRPr="00D355FF" w:rsidRDefault="006F5C55" w:rsidP="009574D9">
            <w:pPr>
              <w:autoSpaceDE/>
              <w:autoSpaceDN/>
              <w:adjustRightInd/>
              <w:spacing w:after="0"/>
              <w:jc w:val="right"/>
              <w:rPr>
                <w:rFonts w:eastAsia="Times New Roman" w:cs="Arial"/>
                <w:b/>
                <w:bCs/>
                <w:lang w:eastAsia="en-GB"/>
              </w:rPr>
            </w:pPr>
          </w:p>
        </w:tc>
        <w:tc>
          <w:tcPr>
            <w:tcW w:w="1128" w:type="dxa"/>
            <w:shd w:val="clear" w:color="auto" w:fill="auto"/>
            <w:noWrap/>
            <w:vAlign w:val="center"/>
          </w:tcPr>
          <w:p w14:paraId="7951346A" w14:textId="06D74C95" w:rsidR="006F5C55" w:rsidRPr="00D355FF" w:rsidRDefault="006F5C55" w:rsidP="009574D9">
            <w:pPr>
              <w:autoSpaceDE/>
              <w:autoSpaceDN/>
              <w:adjustRightInd/>
              <w:spacing w:after="0"/>
              <w:jc w:val="right"/>
              <w:rPr>
                <w:rFonts w:eastAsia="Times New Roman" w:cs="Arial"/>
                <w:b/>
                <w:bCs/>
                <w:lang w:eastAsia="en-GB"/>
              </w:rPr>
            </w:pPr>
          </w:p>
        </w:tc>
      </w:tr>
      <w:tr w:rsidR="006C72FB" w14:paraId="1458F277" w14:textId="77777777" w:rsidTr="00E67382">
        <w:trPr>
          <w:trHeight w:val="280"/>
        </w:trPr>
        <w:tc>
          <w:tcPr>
            <w:tcW w:w="3379" w:type="dxa"/>
            <w:shd w:val="clear" w:color="auto" w:fill="auto"/>
            <w:noWrap/>
            <w:vAlign w:val="center"/>
            <w:hideMark/>
          </w:tcPr>
          <w:p w14:paraId="3BC5C38E" w14:textId="77777777" w:rsidR="006F5C55" w:rsidRPr="00D355FF" w:rsidRDefault="00A854D0" w:rsidP="0046463C">
            <w:pPr>
              <w:autoSpaceDE/>
              <w:autoSpaceDN/>
              <w:adjustRightInd/>
              <w:spacing w:after="0"/>
              <w:rPr>
                <w:rFonts w:eastAsia="Times New Roman" w:cs="Arial"/>
                <w:b/>
                <w:bCs/>
                <w:lang w:eastAsia="en-GB"/>
              </w:rPr>
            </w:pPr>
            <w:r w:rsidRPr="00D355FF">
              <w:rPr>
                <w:rFonts w:eastAsia="Times New Roman" w:cs="Arial"/>
                <w:b/>
                <w:bCs/>
                <w:lang w:eastAsia="en-GB"/>
              </w:rPr>
              <w:t>Variance</w:t>
            </w:r>
          </w:p>
        </w:tc>
        <w:tc>
          <w:tcPr>
            <w:tcW w:w="1127" w:type="dxa"/>
            <w:shd w:val="clear" w:color="auto" w:fill="auto"/>
            <w:noWrap/>
            <w:vAlign w:val="center"/>
          </w:tcPr>
          <w:p w14:paraId="2CEBF68E" w14:textId="35DD28E1" w:rsidR="006F5C55" w:rsidRPr="00D355FF" w:rsidRDefault="00A854D0" w:rsidP="009574D9">
            <w:pPr>
              <w:autoSpaceDE/>
              <w:autoSpaceDN/>
              <w:adjustRightInd/>
              <w:spacing w:after="0"/>
              <w:jc w:val="right"/>
              <w:rPr>
                <w:rFonts w:eastAsia="Times New Roman" w:cs="Arial"/>
                <w:b/>
                <w:bCs/>
                <w:lang w:eastAsia="en-GB"/>
              </w:rPr>
            </w:pPr>
            <w:r w:rsidRPr="00D355FF">
              <w:rPr>
                <w:rFonts w:eastAsia="Times New Roman" w:cs="Arial"/>
                <w:b/>
                <w:bCs/>
                <w:lang w:eastAsia="en-GB"/>
              </w:rPr>
              <w:t>18.049</w:t>
            </w:r>
          </w:p>
        </w:tc>
        <w:tc>
          <w:tcPr>
            <w:tcW w:w="1127" w:type="dxa"/>
            <w:shd w:val="clear" w:color="auto" w:fill="auto"/>
            <w:noWrap/>
            <w:vAlign w:val="center"/>
          </w:tcPr>
          <w:p w14:paraId="735E6280" w14:textId="0076043A" w:rsidR="006F5C55" w:rsidRPr="00D355FF" w:rsidRDefault="00A854D0" w:rsidP="009574D9">
            <w:pPr>
              <w:autoSpaceDE/>
              <w:autoSpaceDN/>
              <w:adjustRightInd/>
              <w:spacing w:after="0"/>
              <w:jc w:val="right"/>
              <w:rPr>
                <w:rFonts w:eastAsia="Times New Roman" w:cs="Arial"/>
                <w:b/>
                <w:bCs/>
                <w:lang w:eastAsia="en-GB"/>
              </w:rPr>
            </w:pPr>
            <w:r w:rsidRPr="00D355FF">
              <w:rPr>
                <w:rFonts w:eastAsia="Times New Roman" w:cs="Arial"/>
                <w:b/>
                <w:bCs/>
                <w:lang w:eastAsia="en-GB"/>
              </w:rPr>
              <w:t>5.169</w:t>
            </w:r>
          </w:p>
        </w:tc>
        <w:tc>
          <w:tcPr>
            <w:tcW w:w="1128" w:type="dxa"/>
            <w:shd w:val="clear" w:color="auto" w:fill="auto"/>
            <w:noWrap/>
            <w:vAlign w:val="center"/>
          </w:tcPr>
          <w:p w14:paraId="06F5BC31" w14:textId="4A8CD94C" w:rsidR="006F5C55" w:rsidRPr="00D355FF" w:rsidRDefault="00A854D0" w:rsidP="009574D9">
            <w:pPr>
              <w:autoSpaceDE/>
              <w:autoSpaceDN/>
              <w:adjustRightInd/>
              <w:spacing w:after="0"/>
              <w:jc w:val="right"/>
              <w:rPr>
                <w:rFonts w:eastAsia="Times New Roman" w:cs="Arial"/>
                <w:b/>
                <w:bCs/>
                <w:lang w:eastAsia="en-GB"/>
              </w:rPr>
            </w:pPr>
            <w:r w:rsidRPr="00D355FF">
              <w:rPr>
                <w:rFonts w:eastAsia="Times New Roman" w:cs="Arial"/>
                <w:b/>
                <w:bCs/>
                <w:lang w:eastAsia="en-GB"/>
              </w:rPr>
              <w:t>13.828</w:t>
            </w:r>
          </w:p>
        </w:tc>
        <w:tc>
          <w:tcPr>
            <w:tcW w:w="1127" w:type="dxa"/>
            <w:vAlign w:val="center"/>
          </w:tcPr>
          <w:p w14:paraId="6240DB48" w14:textId="4DE8F0FB" w:rsidR="006F5C55" w:rsidRPr="00D355FF" w:rsidRDefault="00A854D0" w:rsidP="009574D9">
            <w:pPr>
              <w:autoSpaceDE/>
              <w:autoSpaceDN/>
              <w:adjustRightInd/>
              <w:spacing w:after="0"/>
              <w:jc w:val="right"/>
              <w:rPr>
                <w:rFonts w:eastAsia="Times New Roman" w:cs="Arial"/>
                <w:b/>
                <w:bCs/>
                <w:lang w:eastAsia="en-GB"/>
              </w:rPr>
            </w:pPr>
            <w:r w:rsidRPr="00D355FF">
              <w:rPr>
                <w:rFonts w:eastAsia="Times New Roman" w:cs="Arial"/>
                <w:b/>
                <w:bCs/>
                <w:lang w:eastAsia="en-GB"/>
              </w:rPr>
              <w:t>14.634</w:t>
            </w:r>
          </w:p>
        </w:tc>
        <w:tc>
          <w:tcPr>
            <w:tcW w:w="1128" w:type="dxa"/>
            <w:shd w:val="clear" w:color="auto" w:fill="auto"/>
            <w:noWrap/>
            <w:vAlign w:val="center"/>
          </w:tcPr>
          <w:p w14:paraId="1C4168AA" w14:textId="00221D44" w:rsidR="006F5C55" w:rsidRPr="00D355FF" w:rsidRDefault="00A854D0" w:rsidP="009574D9">
            <w:pPr>
              <w:autoSpaceDE/>
              <w:autoSpaceDN/>
              <w:adjustRightInd/>
              <w:spacing w:after="0"/>
              <w:jc w:val="right"/>
              <w:rPr>
                <w:rFonts w:eastAsia="Times New Roman" w:cs="Arial"/>
                <w:b/>
                <w:bCs/>
                <w:lang w:eastAsia="en-GB"/>
              </w:rPr>
            </w:pPr>
            <w:r w:rsidRPr="00D355FF">
              <w:rPr>
                <w:rFonts w:eastAsia="Times New Roman" w:cs="Arial"/>
                <w:b/>
                <w:bCs/>
                <w:lang w:eastAsia="en-GB"/>
              </w:rPr>
              <w:t>51.680</w:t>
            </w:r>
          </w:p>
        </w:tc>
      </w:tr>
    </w:tbl>
    <w:p w14:paraId="335A7541" w14:textId="77777777" w:rsidR="0046463C" w:rsidRPr="003A755A" w:rsidRDefault="0046463C" w:rsidP="0046463C">
      <w:pPr>
        <w:tabs>
          <w:tab w:val="left" w:pos="567"/>
          <w:tab w:val="left" w:pos="1134"/>
        </w:tabs>
        <w:spacing w:after="0"/>
        <w:rPr>
          <w:rFonts w:cs="Arial"/>
          <w:highlight w:val="yellow"/>
        </w:rPr>
      </w:pPr>
    </w:p>
    <w:p w14:paraId="6F299BFB" w14:textId="2D66A7C3" w:rsidR="0046463C" w:rsidRPr="003A755A" w:rsidRDefault="00A854D0" w:rsidP="1A200324">
      <w:pPr>
        <w:spacing w:after="0"/>
        <w:rPr>
          <w:rFonts w:cs="Arial"/>
          <w:highlight w:val="yellow"/>
        </w:rPr>
      </w:pPr>
      <w:r w:rsidRPr="175EC9AE">
        <w:rPr>
          <w:rFonts w:cs="Arial"/>
        </w:rPr>
        <w:t>Adult social care represents a large proportion of the demand</w:t>
      </w:r>
      <w:r w:rsidRPr="175EC9AE">
        <w:rPr>
          <w:rFonts w:cs="Arial"/>
          <w:b/>
          <w:bCs/>
        </w:rPr>
        <w:t xml:space="preserve"> </w:t>
      </w:r>
      <w:r w:rsidRPr="175EC9AE">
        <w:rPr>
          <w:rFonts w:cs="Arial"/>
        </w:rPr>
        <w:t>pressures</w:t>
      </w:r>
      <w:r w:rsidRPr="175EC9AE">
        <w:rPr>
          <w:rFonts w:cs="Arial"/>
          <w:b/>
          <w:bCs/>
        </w:rPr>
        <w:t xml:space="preserve">. </w:t>
      </w:r>
      <w:r w:rsidRPr="175EC9AE">
        <w:rPr>
          <w:rFonts w:cs="Arial"/>
        </w:rPr>
        <w:t xml:space="preserve">Adult social care has long seen annual increases in the demand for services and the </w:t>
      </w:r>
      <w:r w:rsidR="00AC2802">
        <w:rPr>
          <w:rFonts w:cs="Arial"/>
        </w:rPr>
        <w:t>medium term financial strategy</w:t>
      </w:r>
      <w:r w:rsidR="00AC2802" w:rsidRPr="175EC9AE">
        <w:rPr>
          <w:rFonts w:cs="Arial"/>
        </w:rPr>
        <w:t xml:space="preserve"> </w:t>
      </w:r>
      <w:r w:rsidRPr="175EC9AE">
        <w:rPr>
          <w:rFonts w:cs="Arial"/>
        </w:rPr>
        <w:t xml:space="preserve">attempts to predict growth in future years </w:t>
      </w:r>
      <w:bookmarkStart w:id="5" w:name="_Int_AEiTTRnV"/>
      <w:r w:rsidRPr="175EC9AE">
        <w:rPr>
          <w:rFonts w:cs="Arial"/>
        </w:rPr>
        <w:t>largely based</w:t>
      </w:r>
      <w:bookmarkEnd w:id="5"/>
      <w:r w:rsidRPr="175EC9AE">
        <w:rPr>
          <w:rFonts w:cs="Arial"/>
        </w:rPr>
        <w:t xml:space="preserve"> on reviewing current and past activity trends </w:t>
      </w:r>
      <w:bookmarkStart w:id="6" w:name="_Int_rOg9OVeU"/>
      <w:r w:rsidRPr="175EC9AE">
        <w:rPr>
          <w:rFonts w:cs="Arial"/>
        </w:rPr>
        <w:t>and also</w:t>
      </w:r>
      <w:bookmarkEnd w:id="6"/>
      <w:r w:rsidRPr="175EC9AE">
        <w:rPr>
          <w:rFonts w:cs="Arial"/>
        </w:rPr>
        <w:t xml:space="preserve"> </w:t>
      </w:r>
      <w:bookmarkStart w:id="7" w:name="_Int_B4nXY8Bk"/>
      <w:r w:rsidRPr="175EC9AE">
        <w:rPr>
          <w:rFonts w:cs="Arial"/>
        </w:rPr>
        <w:t>taking into account</w:t>
      </w:r>
      <w:bookmarkEnd w:id="7"/>
      <w:r w:rsidRPr="175EC9AE">
        <w:rPr>
          <w:rFonts w:cs="Arial"/>
        </w:rPr>
        <w:t xml:space="preserve"> future population changes, particularly </w:t>
      </w:r>
      <w:bookmarkStart w:id="8" w:name="_Int_M8AoUq1W"/>
      <w:r w:rsidRPr="175EC9AE">
        <w:rPr>
          <w:rFonts w:cs="Arial"/>
        </w:rPr>
        <w:t>with regard to</w:t>
      </w:r>
      <w:bookmarkEnd w:id="8"/>
      <w:r w:rsidRPr="175EC9AE">
        <w:rPr>
          <w:rFonts w:cs="Arial"/>
        </w:rPr>
        <w:t xml:space="preserve"> the ageing population. From a social care perspective demand covers both increasing numbers of people eligible for support and the increasing complexity of those cases. The level of demand included for this service area for the three years to 2026/27 is £46.94</w:t>
      </w:r>
      <w:r w:rsidR="006A7957">
        <w:rPr>
          <w:rFonts w:cs="Arial"/>
        </w:rPr>
        <w:t>2</w:t>
      </w:r>
      <w:r w:rsidRPr="175EC9AE">
        <w:rPr>
          <w:rFonts w:cs="Arial"/>
        </w:rPr>
        <w:t xml:space="preserve">m. This will continue to be monitored and figures may be updated in future </w:t>
      </w:r>
      <w:r w:rsidR="006A7957">
        <w:rPr>
          <w:rFonts w:cs="Arial"/>
        </w:rPr>
        <w:t>medium term financial strategy</w:t>
      </w:r>
      <w:r w:rsidR="006A7957" w:rsidRPr="175EC9AE">
        <w:rPr>
          <w:rFonts w:cs="Arial"/>
        </w:rPr>
        <w:t xml:space="preserve"> </w:t>
      </w:r>
      <w:r w:rsidRPr="175EC9AE">
        <w:rPr>
          <w:rFonts w:cs="Arial"/>
        </w:rPr>
        <w:t xml:space="preserve">reports. </w:t>
      </w:r>
    </w:p>
    <w:p w14:paraId="5F146F5D" w14:textId="7AF10D1E" w:rsidR="0046463C" w:rsidRPr="003A755A" w:rsidRDefault="0046463C" w:rsidP="1A200324">
      <w:pPr>
        <w:spacing w:after="0"/>
        <w:rPr>
          <w:rFonts w:cs="Arial"/>
          <w:highlight w:val="yellow"/>
        </w:rPr>
      </w:pPr>
    </w:p>
    <w:p w14:paraId="31ED4E45" w14:textId="4AB9AF47" w:rsidR="0046463C" w:rsidRPr="003A755A" w:rsidRDefault="00A854D0" w:rsidP="1A200324">
      <w:pPr>
        <w:spacing w:after="0"/>
        <w:rPr>
          <w:rFonts w:cs="Arial"/>
        </w:rPr>
      </w:pPr>
      <w:r w:rsidRPr="175EC9AE">
        <w:rPr>
          <w:rFonts w:cs="Arial"/>
        </w:rPr>
        <w:t xml:space="preserve">The figures in Table 6 </w:t>
      </w:r>
      <w:r w:rsidR="006A7957">
        <w:rPr>
          <w:rFonts w:cs="Arial"/>
        </w:rPr>
        <w:t>do not take account</w:t>
      </w:r>
      <w:r w:rsidRPr="175EC9AE">
        <w:rPr>
          <w:rFonts w:cs="Arial"/>
        </w:rPr>
        <w:t xml:space="preserve"> of the Care Act Reforms and the Fair Cost of Care exercise that is currently being carried out. The submission date for this information to the national team is October 2022. </w:t>
      </w:r>
      <w:bookmarkStart w:id="9" w:name="_Int_PO7pyhQj"/>
      <w:r w:rsidR="009D2AF7">
        <w:rPr>
          <w:rFonts w:cs="Arial"/>
        </w:rPr>
        <w:t xml:space="preserve">The County Council </w:t>
      </w:r>
      <w:bookmarkEnd w:id="9"/>
      <w:r w:rsidRPr="175EC9AE">
        <w:rPr>
          <w:rFonts w:cs="Arial"/>
        </w:rPr>
        <w:t xml:space="preserve"> has commissioned a service to gather this information from Adult Care providers of Nursing, Residential and Domiciliary Care within our geographical area.</w:t>
      </w:r>
      <w:r w:rsidR="00152008">
        <w:rPr>
          <w:rFonts w:cs="Arial"/>
        </w:rPr>
        <w:t xml:space="preserve">  If the cost of implementing these changes is not fully offset from additional government funding there would be an additional cost pressure and increase to the forecast funding gap.</w:t>
      </w:r>
      <w:r w:rsidRPr="175EC9AE">
        <w:rPr>
          <w:rFonts w:cs="Arial"/>
        </w:rPr>
        <w:t xml:space="preserve"> </w:t>
      </w:r>
    </w:p>
    <w:p w14:paraId="46B48698" w14:textId="258B863F" w:rsidR="1A200324" w:rsidRDefault="1A200324" w:rsidP="1A200324">
      <w:pPr>
        <w:spacing w:after="0"/>
        <w:rPr>
          <w:rFonts w:cs="Arial"/>
        </w:rPr>
      </w:pPr>
    </w:p>
    <w:p w14:paraId="2C11052D" w14:textId="487A5275" w:rsidR="0046463C" w:rsidRDefault="00A854D0" w:rsidP="200D3689">
      <w:pPr>
        <w:spacing w:after="0"/>
        <w:rPr>
          <w:rFonts w:eastAsia="Arial" w:cs="Arial"/>
          <w:color w:val="000000" w:themeColor="text1"/>
        </w:rPr>
      </w:pPr>
      <w:r w:rsidRPr="0B8C6090">
        <w:rPr>
          <w:rFonts w:cs="Arial"/>
        </w:rPr>
        <w:t>Children's social care continues to experience demand pressures across the service, particularly in relation to placement demand due to the number of looked after children in Lancashire and the type of service provision.</w:t>
      </w:r>
      <w:r w:rsidR="008A0162">
        <w:rPr>
          <w:rFonts w:cs="Arial"/>
        </w:rPr>
        <w:t xml:space="preserve"> The increase included at quarter 1 for demand across children's social care is c£</w:t>
      </w:r>
      <w:r w:rsidR="000B0754">
        <w:rPr>
          <w:rFonts w:cs="Arial"/>
        </w:rPr>
        <w:t>16m and</w:t>
      </w:r>
      <w:r w:rsidR="008A0162">
        <w:rPr>
          <w:rFonts w:cs="Arial"/>
        </w:rPr>
        <w:t xml:space="preserve"> </w:t>
      </w:r>
      <w:r w:rsidR="00152008">
        <w:rPr>
          <w:rFonts w:cs="Arial"/>
        </w:rPr>
        <w:t xml:space="preserve">represents </w:t>
      </w:r>
      <w:r w:rsidR="000B0754">
        <w:rPr>
          <w:rFonts w:cs="Arial"/>
        </w:rPr>
        <w:t>the majority</w:t>
      </w:r>
      <w:r w:rsidR="008A0162">
        <w:rPr>
          <w:rFonts w:cs="Arial"/>
        </w:rPr>
        <w:t xml:space="preserve"> of the </w:t>
      </w:r>
      <w:r w:rsidR="00152008">
        <w:rPr>
          <w:rFonts w:cs="Arial"/>
        </w:rPr>
        <w:t xml:space="preserve">£18m </w:t>
      </w:r>
      <w:r w:rsidR="008A0162">
        <w:rPr>
          <w:rFonts w:cs="Arial"/>
        </w:rPr>
        <w:t>increase in demand shown in table 6 above.</w:t>
      </w:r>
      <w:r w:rsidRPr="0B8C6090">
        <w:rPr>
          <w:rFonts w:cs="Arial"/>
        </w:rPr>
        <w:t xml:space="preserve"> The increases are </w:t>
      </w:r>
      <w:bookmarkStart w:id="10" w:name="_Int_rmenK0U2"/>
      <w:r w:rsidRPr="0B8C6090">
        <w:rPr>
          <w:rFonts w:cs="Arial"/>
        </w:rPr>
        <w:t xml:space="preserve">largely </w:t>
      </w:r>
      <w:r w:rsidR="200D3689" w:rsidRPr="0B8C6090">
        <w:rPr>
          <w:rFonts w:eastAsia="Arial" w:cs="Arial"/>
          <w:color w:val="000000" w:themeColor="text1"/>
        </w:rPr>
        <w:t>due</w:t>
      </w:r>
      <w:bookmarkEnd w:id="10"/>
      <w:r w:rsidR="200D3689" w:rsidRPr="0B8C6090">
        <w:rPr>
          <w:rFonts w:eastAsia="Arial" w:cs="Arial"/>
          <w:color w:val="000000" w:themeColor="text1"/>
        </w:rPr>
        <w:t xml:space="preserve"> to increases in placement costs and in particular the number of children placed in agency residential accommodation</w:t>
      </w:r>
      <w:r w:rsidR="00152008">
        <w:rPr>
          <w:rFonts w:eastAsia="Arial" w:cs="Arial"/>
          <w:color w:val="000000" w:themeColor="text1"/>
        </w:rPr>
        <w:t xml:space="preserve"> which are pressures </w:t>
      </w:r>
      <w:r w:rsidR="0064320A">
        <w:rPr>
          <w:rFonts w:eastAsia="Arial" w:cs="Arial"/>
          <w:color w:val="000000" w:themeColor="text1"/>
        </w:rPr>
        <w:t>being seen across the sector</w:t>
      </w:r>
      <w:r w:rsidR="200D3689" w:rsidRPr="0B8C6090">
        <w:rPr>
          <w:rFonts w:eastAsia="Arial" w:cs="Arial"/>
          <w:color w:val="000000" w:themeColor="text1"/>
        </w:rPr>
        <w:t>.</w:t>
      </w:r>
      <w:r w:rsidR="008A0162">
        <w:rPr>
          <w:rFonts w:eastAsia="Arial" w:cs="Arial"/>
          <w:color w:val="000000" w:themeColor="text1"/>
        </w:rPr>
        <w:t xml:space="preserve"> Our assumptions are based on the </w:t>
      </w:r>
      <w:r w:rsidR="000B0754">
        <w:rPr>
          <w:rFonts w:eastAsia="Arial" w:cs="Arial"/>
          <w:color w:val="000000" w:themeColor="text1"/>
        </w:rPr>
        <w:t>3-month</w:t>
      </w:r>
      <w:r w:rsidR="008A0162">
        <w:rPr>
          <w:rFonts w:eastAsia="Arial" w:cs="Arial"/>
          <w:color w:val="000000" w:themeColor="text1"/>
        </w:rPr>
        <w:t xml:space="preserve"> average demand for placements in 2022/23, with the MTFS reflecting half this demand in 2023/24 and no additional demand in future financial years. </w:t>
      </w:r>
    </w:p>
    <w:p w14:paraId="7C7FDBE9" w14:textId="50247666" w:rsidR="004D633C" w:rsidRDefault="004D633C" w:rsidP="200D3689">
      <w:pPr>
        <w:spacing w:after="0"/>
        <w:rPr>
          <w:rFonts w:eastAsia="Arial" w:cs="Arial"/>
          <w:color w:val="000000" w:themeColor="text1"/>
        </w:rPr>
      </w:pPr>
    </w:p>
    <w:p w14:paraId="3B5CBCFE" w14:textId="3AB8F358" w:rsidR="0046463C" w:rsidRPr="00035461" w:rsidRDefault="00A854D0" w:rsidP="1A200324">
      <w:pPr>
        <w:spacing w:after="0"/>
        <w:rPr>
          <w:rFonts w:cs="Arial"/>
        </w:rPr>
      </w:pPr>
      <w:r w:rsidRPr="00035461">
        <w:rPr>
          <w:rFonts w:eastAsia="Arial" w:cs="Arial"/>
          <w:b/>
          <w:bCs/>
          <w:color w:val="000000" w:themeColor="text1"/>
        </w:rPr>
        <w:t>3.4 Other</w:t>
      </w:r>
    </w:p>
    <w:p w14:paraId="501C8757" w14:textId="17CE189B" w:rsidR="00CF4A82" w:rsidRDefault="00A854D0" w:rsidP="00035461">
      <w:pPr>
        <w:spacing w:after="0"/>
        <w:rPr>
          <w:rFonts w:eastAsiaTheme="minorHAnsi" w:cs="Arial"/>
          <w:color w:val="auto"/>
        </w:rPr>
      </w:pPr>
      <w:r>
        <w:rPr>
          <w:rFonts w:cs="Arial"/>
        </w:rPr>
        <w:t xml:space="preserve">The main adjustment within this area relates to the increased budget requirement for the minimum revenue provision due to the impact of an increasing proportion of the capital programme in recent </w:t>
      </w:r>
      <w:r w:rsidR="008A0162">
        <w:rPr>
          <w:rFonts w:cs="Arial"/>
        </w:rPr>
        <w:t>years and</w:t>
      </w:r>
      <w:r>
        <w:rPr>
          <w:rFonts w:cs="Arial"/>
        </w:rPr>
        <w:t xml:space="preserve"> going </w:t>
      </w:r>
      <w:r w:rsidR="000B0754">
        <w:rPr>
          <w:rFonts w:cs="Arial"/>
        </w:rPr>
        <w:t>forward being</w:t>
      </w:r>
      <w:r>
        <w:rPr>
          <w:rFonts w:cs="Arial"/>
        </w:rPr>
        <w:t xml:space="preserve"> funded from additional borrowing</w:t>
      </w:r>
      <w:r w:rsidR="0064320A">
        <w:rPr>
          <w:rFonts w:cs="Arial"/>
        </w:rPr>
        <w:t>.  This leads</w:t>
      </w:r>
      <w:r>
        <w:rPr>
          <w:rFonts w:cs="Arial"/>
        </w:rPr>
        <w:t xml:space="preserve"> to an increase in the minimum revenue </w:t>
      </w:r>
      <w:r w:rsidR="0064320A">
        <w:rPr>
          <w:rFonts w:cs="Arial"/>
        </w:rPr>
        <w:t xml:space="preserve">provision </w:t>
      </w:r>
      <w:r>
        <w:rPr>
          <w:rFonts w:cs="Arial"/>
        </w:rPr>
        <w:t xml:space="preserve">(MRP) </w:t>
      </w:r>
      <w:r w:rsidR="0064320A">
        <w:rPr>
          <w:rFonts w:cs="Arial"/>
        </w:rPr>
        <w:t xml:space="preserve">annual charge </w:t>
      </w:r>
      <w:r>
        <w:rPr>
          <w:rFonts w:cs="Arial"/>
        </w:rPr>
        <w:t xml:space="preserve">to the revenue budget to repay </w:t>
      </w:r>
      <w:r w:rsidR="0064320A">
        <w:rPr>
          <w:rFonts w:cs="Arial"/>
        </w:rPr>
        <w:t xml:space="preserve">the </w:t>
      </w:r>
      <w:r>
        <w:rPr>
          <w:rFonts w:cs="Arial"/>
        </w:rPr>
        <w:t xml:space="preserve">principal </w:t>
      </w:r>
      <w:r w:rsidR="0064320A">
        <w:rPr>
          <w:rFonts w:cs="Arial"/>
        </w:rPr>
        <w:t xml:space="preserve">debt and we are also seeing </w:t>
      </w:r>
      <w:r>
        <w:rPr>
          <w:rFonts w:cs="Arial"/>
        </w:rPr>
        <w:t xml:space="preserve">the impact of forecast increases in interest rates on actual </w:t>
      </w:r>
      <w:r w:rsidR="0064320A">
        <w:rPr>
          <w:rFonts w:cs="Arial"/>
        </w:rPr>
        <w:t xml:space="preserve">annual </w:t>
      </w:r>
      <w:r>
        <w:rPr>
          <w:rFonts w:cs="Arial"/>
        </w:rPr>
        <w:t>interest charges</w:t>
      </w:r>
      <w:r w:rsidR="0064320A">
        <w:rPr>
          <w:rFonts w:cs="Arial"/>
        </w:rPr>
        <w:t xml:space="preserve"> on that </w:t>
      </w:r>
      <w:r w:rsidR="000B0754">
        <w:rPr>
          <w:rFonts w:cs="Arial"/>
        </w:rPr>
        <w:t>debt. There</w:t>
      </w:r>
      <w:r>
        <w:rPr>
          <w:rFonts w:cs="Arial"/>
        </w:rPr>
        <w:t xml:space="preserve"> has also been an increase in the MRP charge as the assets for which borrowing was used have had a shorter asset life than assumed in setting the budgets. Consequently, as minimum revenue provision is related to the asset life this has resulted in higher minimum revenue provision charges</w:t>
      </w:r>
      <w:r w:rsidR="0064320A">
        <w:rPr>
          <w:rFonts w:cs="Arial"/>
        </w:rPr>
        <w:t xml:space="preserve"> going forward</w:t>
      </w:r>
      <w:r>
        <w:rPr>
          <w:rFonts w:cs="Arial"/>
        </w:rPr>
        <w:t xml:space="preserve">. </w:t>
      </w:r>
    </w:p>
    <w:p w14:paraId="71810226" w14:textId="77777777" w:rsidR="00CF4A82" w:rsidRDefault="00CF4A82" w:rsidP="00035461">
      <w:pPr>
        <w:spacing w:after="0"/>
        <w:rPr>
          <w:rFonts w:cs="Arial"/>
        </w:rPr>
      </w:pPr>
    </w:p>
    <w:p w14:paraId="123F987B" w14:textId="2C67F292" w:rsidR="0046463C" w:rsidRPr="0068002D" w:rsidRDefault="0046463C" w:rsidP="0046463C">
      <w:pPr>
        <w:spacing w:after="0"/>
        <w:rPr>
          <w:rFonts w:cs="Arial"/>
          <w:highlight w:val="yellow"/>
        </w:rPr>
      </w:pPr>
    </w:p>
    <w:p w14:paraId="0A096E2E" w14:textId="4DA0F717" w:rsidR="0046463C" w:rsidRPr="0068002D" w:rsidRDefault="0046463C" w:rsidP="5A4D0C2B">
      <w:pPr>
        <w:spacing w:after="0"/>
        <w:rPr>
          <w:rFonts w:cs="Arial"/>
          <w:b/>
        </w:rPr>
      </w:pPr>
    </w:p>
    <w:p w14:paraId="7BC2575B" w14:textId="163A1446" w:rsidR="007D3552" w:rsidRDefault="00A854D0">
      <w:pPr>
        <w:autoSpaceDE/>
        <w:autoSpaceDN/>
        <w:adjustRightInd/>
        <w:spacing w:after="0"/>
        <w:jc w:val="left"/>
        <w:rPr>
          <w:rFonts w:cs="Arial"/>
          <w:highlight w:val="yellow"/>
        </w:rPr>
      </w:pPr>
      <w:r>
        <w:rPr>
          <w:rFonts w:cs="Arial"/>
          <w:highlight w:val="yellow"/>
        </w:rPr>
        <w:br w:type="page"/>
      </w:r>
    </w:p>
    <w:p w14:paraId="08CA055A" w14:textId="77777777" w:rsidR="0046463C" w:rsidRPr="00F37CD6" w:rsidRDefault="00A854D0" w:rsidP="0046463C">
      <w:pPr>
        <w:tabs>
          <w:tab w:val="left" w:pos="567"/>
          <w:tab w:val="left" w:pos="1134"/>
        </w:tabs>
        <w:spacing w:after="0"/>
        <w:rPr>
          <w:rFonts w:cs="Arial"/>
          <w:b/>
        </w:rPr>
      </w:pPr>
      <w:r w:rsidRPr="00F37CD6">
        <w:rPr>
          <w:rFonts w:cs="Arial"/>
          <w:b/>
        </w:rPr>
        <w:lastRenderedPageBreak/>
        <w:t>4. Reserves</w:t>
      </w:r>
    </w:p>
    <w:p w14:paraId="493C0884" w14:textId="77777777" w:rsidR="0046463C" w:rsidRPr="00F37CD6" w:rsidRDefault="0046463C" w:rsidP="0046463C">
      <w:pPr>
        <w:tabs>
          <w:tab w:val="left" w:pos="567"/>
          <w:tab w:val="left" w:pos="1134"/>
        </w:tabs>
        <w:spacing w:after="0"/>
        <w:rPr>
          <w:rFonts w:cs="Arial"/>
          <w:b/>
        </w:rPr>
      </w:pPr>
    </w:p>
    <w:p w14:paraId="1F1F79FC" w14:textId="77777777" w:rsidR="0046463C" w:rsidRPr="00F37CD6" w:rsidRDefault="00A854D0" w:rsidP="0046463C">
      <w:pPr>
        <w:tabs>
          <w:tab w:val="left" w:pos="567"/>
          <w:tab w:val="left" w:pos="1134"/>
        </w:tabs>
        <w:spacing w:after="0"/>
        <w:rPr>
          <w:rFonts w:cs="Arial"/>
          <w:b/>
          <w:i/>
          <w:u w:val="single"/>
        </w:rPr>
      </w:pPr>
      <w:r w:rsidRPr="00F37CD6">
        <w:rPr>
          <w:rFonts w:cs="Arial"/>
          <w:b/>
          <w:i/>
          <w:u w:val="single"/>
        </w:rPr>
        <w:t xml:space="preserve">Table 7 </w:t>
      </w:r>
    </w:p>
    <w:p w14:paraId="15977DB5" w14:textId="77777777" w:rsidR="0046463C" w:rsidRPr="003A755A" w:rsidRDefault="0046463C" w:rsidP="0046463C">
      <w:pPr>
        <w:tabs>
          <w:tab w:val="left" w:pos="567"/>
          <w:tab w:val="left" w:pos="1134"/>
        </w:tabs>
        <w:spacing w:after="0"/>
        <w:rPr>
          <w:rFonts w:cs="Arial"/>
          <w:b/>
          <w:i/>
          <w:highlight w:val="yellow"/>
          <w:u w:val="single"/>
        </w:rPr>
      </w:pPr>
    </w:p>
    <w:tbl>
      <w:tblPr>
        <w:tblW w:w="5000" w:type="pct"/>
        <w:tblLook w:val="04A0" w:firstRow="1" w:lastRow="0" w:firstColumn="1" w:lastColumn="0" w:noHBand="0" w:noVBand="1"/>
      </w:tblPr>
      <w:tblGrid>
        <w:gridCol w:w="1158"/>
        <w:gridCol w:w="865"/>
        <w:gridCol w:w="1141"/>
        <w:gridCol w:w="1462"/>
        <w:gridCol w:w="848"/>
        <w:gridCol w:w="883"/>
        <w:gridCol w:w="883"/>
        <w:gridCol w:w="883"/>
        <w:gridCol w:w="883"/>
      </w:tblGrid>
      <w:tr w:rsidR="006C72FB" w14:paraId="7A6B95C5" w14:textId="77777777" w:rsidTr="00F37CD6">
        <w:trPr>
          <w:trHeight w:val="1200"/>
        </w:trPr>
        <w:tc>
          <w:tcPr>
            <w:tcW w:w="1130" w:type="pct"/>
            <w:tcBorders>
              <w:top w:val="single" w:sz="8" w:space="0" w:color="auto"/>
              <w:left w:val="single" w:sz="8" w:space="0" w:color="auto"/>
              <w:bottom w:val="single" w:sz="4" w:space="0" w:color="auto"/>
              <w:right w:val="single" w:sz="4" w:space="0" w:color="auto"/>
            </w:tcBorders>
            <w:shd w:val="clear" w:color="000000" w:fill="BFBFBF"/>
            <w:vAlign w:val="center"/>
            <w:hideMark/>
          </w:tcPr>
          <w:p w14:paraId="704A6F16" w14:textId="77777777" w:rsidR="009D0118" w:rsidRPr="009D0118" w:rsidRDefault="00A854D0" w:rsidP="009D0118">
            <w:pPr>
              <w:autoSpaceDE/>
              <w:autoSpaceDN/>
              <w:adjustRightInd/>
              <w:spacing w:after="0"/>
              <w:jc w:val="center"/>
              <w:rPr>
                <w:rFonts w:eastAsia="Times New Roman" w:cs="Arial"/>
                <w:b/>
                <w:bCs/>
                <w:sz w:val="18"/>
                <w:szCs w:val="18"/>
                <w:lang w:eastAsia="en-GB"/>
              </w:rPr>
            </w:pPr>
            <w:r w:rsidRPr="009D0118">
              <w:rPr>
                <w:rFonts w:eastAsia="Times New Roman" w:cs="Arial"/>
                <w:b/>
                <w:bCs/>
                <w:sz w:val="18"/>
                <w:szCs w:val="18"/>
                <w:lang w:eastAsia="en-GB"/>
              </w:rPr>
              <w:t>Reserve Name</w:t>
            </w:r>
          </w:p>
        </w:tc>
        <w:tc>
          <w:tcPr>
            <w:tcW w:w="609" w:type="pct"/>
            <w:tcBorders>
              <w:top w:val="single" w:sz="8" w:space="0" w:color="auto"/>
              <w:left w:val="nil"/>
              <w:bottom w:val="single" w:sz="4" w:space="0" w:color="auto"/>
              <w:right w:val="single" w:sz="4" w:space="0" w:color="auto"/>
            </w:tcBorders>
            <w:shd w:val="clear" w:color="000000" w:fill="BFBFBF"/>
            <w:vAlign w:val="center"/>
            <w:hideMark/>
          </w:tcPr>
          <w:p w14:paraId="72948976"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Opening balance 2022/23</w:t>
            </w:r>
          </w:p>
        </w:tc>
        <w:tc>
          <w:tcPr>
            <w:tcW w:w="493" w:type="pct"/>
            <w:tcBorders>
              <w:top w:val="single" w:sz="8" w:space="0" w:color="auto"/>
              <w:left w:val="nil"/>
              <w:bottom w:val="single" w:sz="4" w:space="0" w:color="auto"/>
              <w:right w:val="single" w:sz="4" w:space="0" w:color="auto"/>
            </w:tcBorders>
            <w:shd w:val="clear" w:color="000000" w:fill="BFBFBF"/>
            <w:vAlign w:val="center"/>
            <w:hideMark/>
          </w:tcPr>
          <w:p w14:paraId="476A786A"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 xml:space="preserve"> 2022/23 Expenditure</w:t>
            </w:r>
          </w:p>
        </w:tc>
        <w:tc>
          <w:tcPr>
            <w:tcW w:w="631" w:type="pct"/>
            <w:tcBorders>
              <w:top w:val="single" w:sz="8" w:space="0" w:color="auto"/>
              <w:left w:val="nil"/>
              <w:bottom w:val="single" w:sz="4" w:space="0" w:color="auto"/>
              <w:right w:val="single" w:sz="4" w:space="0" w:color="auto"/>
            </w:tcBorders>
            <w:shd w:val="clear" w:color="000000" w:fill="BFBFBF"/>
            <w:vAlign w:val="center"/>
            <w:hideMark/>
          </w:tcPr>
          <w:p w14:paraId="5A9A60C9"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2022/23Forecast transfers to/from other reserves</w:t>
            </w:r>
          </w:p>
        </w:tc>
        <w:tc>
          <w:tcPr>
            <w:tcW w:w="430" w:type="pct"/>
            <w:tcBorders>
              <w:top w:val="single" w:sz="8" w:space="0" w:color="auto"/>
              <w:left w:val="nil"/>
              <w:bottom w:val="single" w:sz="4" w:space="0" w:color="auto"/>
              <w:right w:val="single" w:sz="4" w:space="0" w:color="auto"/>
            </w:tcBorders>
            <w:shd w:val="clear" w:color="000000" w:fill="BFBFBF"/>
            <w:vAlign w:val="center"/>
            <w:hideMark/>
          </w:tcPr>
          <w:p w14:paraId="6F7FD689"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2022/23 Closing Balance</w:t>
            </w:r>
          </w:p>
        </w:tc>
        <w:tc>
          <w:tcPr>
            <w:tcW w:w="381" w:type="pct"/>
            <w:tcBorders>
              <w:top w:val="single" w:sz="8" w:space="0" w:color="auto"/>
              <w:left w:val="nil"/>
              <w:bottom w:val="single" w:sz="4" w:space="0" w:color="auto"/>
              <w:right w:val="single" w:sz="4" w:space="0" w:color="auto"/>
            </w:tcBorders>
            <w:shd w:val="clear" w:color="000000" w:fill="BFBFBF"/>
            <w:vAlign w:val="center"/>
            <w:hideMark/>
          </w:tcPr>
          <w:p w14:paraId="1656259B"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2023/24 Forecast Exp</w:t>
            </w:r>
          </w:p>
        </w:tc>
        <w:tc>
          <w:tcPr>
            <w:tcW w:w="381" w:type="pct"/>
            <w:tcBorders>
              <w:top w:val="single" w:sz="8" w:space="0" w:color="auto"/>
              <w:left w:val="nil"/>
              <w:bottom w:val="single" w:sz="4" w:space="0" w:color="auto"/>
              <w:right w:val="single" w:sz="4" w:space="0" w:color="auto"/>
            </w:tcBorders>
            <w:shd w:val="clear" w:color="000000" w:fill="BFBFBF"/>
            <w:vAlign w:val="center"/>
            <w:hideMark/>
          </w:tcPr>
          <w:p w14:paraId="01ED6B14"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2024/25 Forecast Exp</w:t>
            </w:r>
          </w:p>
        </w:tc>
        <w:tc>
          <w:tcPr>
            <w:tcW w:w="387" w:type="pct"/>
            <w:tcBorders>
              <w:top w:val="single" w:sz="8" w:space="0" w:color="auto"/>
              <w:left w:val="nil"/>
              <w:bottom w:val="single" w:sz="4" w:space="0" w:color="auto"/>
              <w:right w:val="single" w:sz="4" w:space="0" w:color="auto"/>
            </w:tcBorders>
            <w:shd w:val="clear" w:color="000000" w:fill="BFBFBF"/>
            <w:vAlign w:val="center"/>
            <w:hideMark/>
          </w:tcPr>
          <w:p w14:paraId="0C31817C"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2025/26 Forecast Exp</w:t>
            </w:r>
          </w:p>
        </w:tc>
        <w:tc>
          <w:tcPr>
            <w:tcW w:w="558" w:type="pct"/>
            <w:tcBorders>
              <w:top w:val="single" w:sz="8" w:space="0" w:color="auto"/>
              <w:left w:val="nil"/>
              <w:bottom w:val="single" w:sz="4" w:space="0" w:color="auto"/>
              <w:right w:val="single" w:sz="8" w:space="0" w:color="auto"/>
            </w:tcBorders>
            <w:shd w:val="clear" w:color="000000" w:fill="BFBFBF"/>
            <w:vAlign w:val="center"/>
            <w:hideMark/>
          </w:tcPr>
          <w:p w14:paraId="624133C2"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Forecast closing balance 31 March 2026</w:t>
            </w:r>
          </w:p>
        </w:tc>
      </w:tr>
      <w:tr w:rsidR="006C72FB" w14:paraId="5418F742" w14:textId="77777777" w:rsidTr="00F37CD6">
        <w:trPr>
          <w:trHeight w:val="255"/>
        </w:trPr>
        <w:tc>
          <w:tcPr>
            <w:tcW w:w="1130" w:type="pct"/>
            <w:tcBorders>
              <w:top w:val="nil"/>
              <w:left w:val="single" w:sz="8" w:space="0" w:color="auto"/>
              <w:bottom w:val="single" w:sz="4" w:space="0" w:color="auto"/>
              <w:right w:val="single" w:sz="4" w:space="0" w:color="auto"/>
            </w:tcBorders>
            <w:shd w:val="clear" w:color="000000" w:fill="BFBFBF"/>
            <w:vAlign w:val="bottom"/>
            <w:hideMark/>
          </w:tcPr>
          <w:p w14:paraId="0C5DA499" w14:textId="77777777" w:rsidR="009D0118" w:rsidRPr="009D0118" w:rsidRDefault="00A854D0" w:rsidP="009D0118">
            <w:pPr>
              <w:autoSpaceDE/>
              <w:autoSpaceDN/>
              <w:adjustRightInd/>
              <w:spacing w:after="0"/>
              <w:jc w:val="left"/>
              <w:rPr>
                <w:rFonts w:eastAsia="Times New Roman" w:cs="Arial"/>
                <w:sz w:val="16"/>
                <w:szCs w:val="16"/>
                <w:lang w:eastAsia="en-GB"/>
              </w:rPr>
            </w:pPr>
            <w:r w:rsidRPr="009D0118">
              <w:rPr>
                <w:rFonts w:eastAsia="Times New Roman" w:cs="Arial"/>
                <w:sz w:val="16"/>
                <w:szCs w:val="16"/>
                <w:lang w:eastAsia="en-GB"/>
              </w:rPr>
              <w:t> </w:t>
            </w:r>
          </w:p>
        </w:tc>
        <w:tc>
          <w:tcPr>
            <w:tcW w:w="609" w:type="pct"/>
            <w:tcBorders>
              <w:top w:val="nil"/>
              <w:left w:val="nil"/>
              <w:bottom w:val="single" w:sz="4" w:space="0" w:color="auto"/>
              <w:right w:val="single" w:sz="4" w:space="0" w:color="auto"/>
            </w:tcBorders>
            <w:shd w:val="clear" w:color="000000" w:fill="BFBFBF"/>
            <w:noWrap/>
            <w:vAlign w:val="bottom"/>
            <w:hideMark/>
          </w:tcPr>
          <w:p w14:paraId="7F804923"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£m</w:t>
            </w:r>
          </w:p>
        </w:tc>
        <w:tc>
          <w:tcPr>
            <w:tcW w:w="493" w:type="pct"/>
            <w:tcBorders>
              <w:top w:val="nil"/>
              <w:left w:val="nil"/>
              <w:bottom w:val="single" w:sz="4" w:space="0" w:color="auto"/>
              <w:right w:val="single" w:sz="4" w:space="0" w:color="auto"/>
            </w:tcBorders>
            <w:shd w:val="clear" w:color="000000" w:fill="BFBFBF"/>
            <w:noWrap/>
            <w:vAlign w:val="center"/>
            <w:hideMark/>
          </w:tcPr>
          <w:p w14:paraId="7782AF75"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£m</w:t>
            </w:r>
          </w:p>
        </w:tc>
        <w:tc>
          <w:tcPr>
            <w:tcW w:w="631" w:type="pct"/>
            <w:tcBorders>
              <w:top w:val="nil"/>
              <w:left w:val="nil"/>
              <w:bottom w:val="single" w:sz="4" w:space="0" w:color="auto"/>
              <w:right w:val="single" w:sz="4" w:space="0" w:color="auto"/>
            </w:tcBorders>
            <w:shd w:val="clear" w:color="000000" w:fill="BFBFBF"/>
            <w:noWrap/>
            <w:vAlign w:val="center"/>
            <w:hideMark/>
          </w:tcPr>
          <w:p w14:paraId="6B92237F"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£m</w:t>
            </w:r>
          </w:p>
        </w:tc>
        <w:tc>
          <w:tcPr>
            <w:tcW w:w="430" w:type="pct"/>
            <w:tcBorders>
              <w:top w:val="nil"/>
              <w:left w:val="nil"/>
              <w:bottom w:val="single" w:sz="4" w:space="0" w:color="auto"/>
              <w:right w:val="single" w:sz="4" w:space="0" w:color="auto"/>
            </w:tcBorders>
            <w:shd w:val="clear" w:color="000000" w:fill="BFBFBF"/>
            <w:noWrap/>
            <w:vAlign w:val="bottom"/>
            <w:hideMark/>
          </w:tcPr>
          <w:p w14:paraId="6068B30D"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£m</w:t>
            </w:r>
          </w:p>
        </w:tc>
        <w:tc>
          <w:tcPr>
            <w:tcW w:w="381" w:type="pct"/>
            <w:tcBorders>
              <w:top w:val="nil"/>
              <w:left w:val="nil"/>
              <w:bottom w:val="single" w:sz="4" w:space="0" w:color="auto"/>
              <w:right w:val="single" w:sz="4" w:space="0" w:color="auto"/>
            </w:tcBorders>
            <w:shd w:val="clear" w:color="000000" w:fill="BFBFBF"/>
            <w:noWrap/>
            <w:vAlign w:val="bottom"/>
            <w:hideMark/>
          </w:tcPr>
          <w:p w14:paraId="2BA9D390"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£m</w:t>
            </w:r>
          </w:p>
        </w:tc>
        <w:tc>
          <w:tcPr>
            <w:tcW w:w="381" w:type="pct"/>
            <w:tcBorders>
              <w:top w:val="nil"/>
              <w:left w:val="nil"/>
              <w:bottom w:val="single" w:sz="4" w:space="0" w:color="auto"/>
              <w:right w:val="single" w:sz="4" w:space="0" w:color="auto"/>
            </w:tcBorders>
            <w:shd w:val="clear" w:color="000000" w:fill="BFBFBF"/>
            <w:noWrap/>
            <w:vAlign w:val="bottom"/>
            <w:hideMark/>
          </w:tcPr>
          <w:p w14:paraId="2D260CFC"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£m</w:t>
            </w:r>
          </w:p>
        </w:tc>
        <w:tc>
          <w:tcPr>
            <w:tcW w:w="387" w:type="pct"/>
            <w:tcBorders>
              <w:top w:val="nil"/>
              <w:left w:val="nil"/>
              <w:bottom w:val="single" w:sz="4" w:space="0" w:color="auto"/>
              <w:right w:val="single" w:sz="4" w:space="0" w:color="auto"/>
            </w:tcBorders>
            <w:shd w:val="clear" w:color="000000" w:fill="BFBFBF"/>
            <w:noWrap/>
            <w:vAlign w:val="bottom"/>
            <w:hideMark/>
          </w:tcPr>
          <w:p w14:paraId="27CCF8F0"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£m</w:t>
            </w:r>
          </w:p>
        </w:tc>
        <w:tc>
          <w:tcPr>
            <w:tcW w:w="558" w:type="pct"/>
            <w:tcBorders>
              <w:top w:val="nil"/>
              <w:left w:val="nil"/>
              <w:bottom w:val="single" w:sz="4" w:space="0" w:color="auto"/>
              <w:right w:val="single" w:sz="8" w:space="0" w:color="auto"/>
            </w:tcBorders>
            <w:shd w:val="clear" w:color="000000" w:fill="BFBFBF"/>
            <w:noWrap/>
            <w:vAlign w:val="bottom"/>
            <w:hideMark/>
          </w:tcPr>
          <w:p w14:paraId="7D76DD69"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£m</w:t>
            </w:r>
          </w:p>
        </w:tc>
      </w:tr>
      <w:tr w:rsidR="006C72FB" w14:paraId="40F866BD" w14:textId="77777777" w:rsidTr="00F37CD6">
        <w:trPr>
          <w:trHeight w:val="642"/>
        </w:trPr>
        <w:tc>
          <w:tcPr>
            <w:tcW w:w="1130" w:type="pct"/>
            <w:tcBorders>
              <w:top w:val="nil"/>
              <w:left w:val="single" w:sz="8" w:space="0" w:color="auto"/>
              <w:bottom w:val="single" w:sz="4" w:space="0" w:color="auto"/>
              <w:right w:val="single" w:sz="4" w:space="0" w:color="auto"/>
            </w:tcBorders>
            <w:shd w:val="clear" w:color="auto" w:fill="auto"/>
            <w:vAlign w:val="center"/>
            <w:hideMark/>
          </w:tcPr>
          <w:p w14:paraId="5CD29164" w14:textId="77777777" w:rsidR="009D0118" w:rsidRPr="009D0118" w:rsidRDefault="00A854D0" w:rsidP="009D0118">
            <w:pPr>
              <w:autoSpaceDE/>
              <w:autoSpaceDN/>
              <w:adjustRightInd/>
              <w:spacing w:after="0"/>
              <w:jc w:val="left"/>
              <w:rPr>
                <w:rFonts w:eastAsia="Times New Roman" w:cs="Arial"/>
                <w:sz w:val="16"/>
                <w:szCs w:val="16"/>
                <w:lang w:eastAsia="en-GB"/>
              </w:rPr>
            </w:pPr>
            <w:r w:rsidRPr="009D0118">
              <w:rPr>
                <w:rFonts w:eastAsia="Times New Roman" w:cs="Arial"/>
                <w:sz w:val="16"/>
                <w:szCs w:val="16"/>
                <w:lang w:eastAsia="en-GB"/>
              </w:rPr>
              <w:t>County Fund</w:t>
            </w:r>
          </w:p>
        </w:tc>
        <w:tc>
          <w:tcPr>
            <w:tcW w:w="609" w:type="pct"/>
            <w:tcBorders>
              <w:top w:val="nil"/>
              <w:left w:val="nil"/>
              <w:bottom w:val="single" w:sz="4" w:space="0" w:color="auto"/>
              <w:right w:val="single" w:sz="4" w:space="0" w:color="auto"/>
            </w:tcBorders>
            <w:shd w:val="clear" w:color="auto" w:fill="auto"/>
            <w:noWrap/>
            <w:vAlign w:val="center"/>
            <w:hideMark/>
          </w:tcPr>
          <w:p w14:paraId="1520912F"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-23.437</w:t>
            </w:r>
          </w:p>
        </w:tc>
        <w:tc>
          <w:tcPr>
            <w:tcW w:w="493" w:type="pct"/>
            <w:tcBorders>
              <w:top w:val="nil"/>
              <w:left w:val="nil"/>
              <w:bottom w:val="single" w:sz="4" w:space="0" w:color="auto"/>
              <w:right w:val="single" w:sz="4" w:space="0" w:color="auto"/>
            </w:tcBorders>
            <w:shd w:val="clear" w:color="auto" w:fill="auto"/>
            <w:noWrap/>
            <w:vAlign w:val="center"/>
            <w:hideMark/>
          </w:tcPr>
          <w:p w14:paraId="1D6E621D"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c>
          <w:tcPr>
            <w:tcW w:w="631" w:type="pct"/>
            <w:tcBorders>
              <w:top w:val="nil"/>
              <w:left w:val="nil"/>
              <w:bottom w:val="single" w:sz="4" w:space="0" w:color="auto"/>
              <w:right w:val="single" w:sz="4" w:space="0" w:color="auto"/>
            </w:tcBorders>
            <w:shd w:val="clear" w:color="auto" w:fill="auto"/>
            <w:noWrap/>
            <w:vAlign w:val="center"/>
            <w:hideMark/>
          </w:tcPr>
          <w:p w14:paraId="2EB6A231"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c>
          <w:tcPr>
            <w:tcW w:w="430" w:type="pct"/>
            <w:tcBorders>
              <w:top w:val="nil"/>
              <w:left w:val="nil"/>
              <w:bottom w:val="single" w:sz="4" w:space="0" w:color="auto"/>
              <w:right w:val="single" w:sz="4" w:space="0" w:color="auto"/>
            </w:tcBorders>
            <w:shd w:val="clear" w:color="000000" w:fill="BFBFBF"/>
            <w:noWrap/>
            <w:vAlign w:val="center"/>
            <w:hideMark/>
          </w:tcPr>
          <w:p w14:paraId="2F78F95C"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-23.437</w:t>
            </w:r>
          </w:p>
        </w:tc>
        <w:tc>
          <w:tcPr>
            <w:tcW w:w="381" w:type="pct"/>
            <w:tcBorders>
              <w:top w:val="nil"/>
              <w:left w:val="nil"/>
              <w:bottom w:val="single" w:sz="4" w:space="0" w:color="auto"/>
              <w:right w:val="single" w:sz="4" w:space="0" w:color="auto"/>
            </w:tcBorders>
            <w:shd w:val="clear" w:color="auto" w:fill="auto"/>
            <w:noWrap/>
            <w:vAlign w:val="center"/>
            <w:hideMark/>
          </w:tcPr>
          <w:p w14:paraId="4F0303CE"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c>
          <w:tcPr>
            <w:tcW w:w="381" w:type="pct"/>
            <w:tcBorders>
              <w:top w:val="nil"/>
              <w:left w:val="nil"/>
              <w:bottom w:val="single" w:sz="4" w:space="0" w:color="auto"/>
              <w:right w:val="single" w:sz="4" w:space="0" w:color="auto"/>
            </w:tcBorders>
            <w:shd w:val="clear" w:color="auto" w:fill="auto"/>
            <w:noWrap/>
            <w:vAlign w:val="center"/>
            <w:hideMark/>
          </w:tcPr>
          <w:p w14:paraId="41B5D751"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c>
          <w:tcPr>
            <w:tcW w:w="387" w:type="pct"/>
            <w:tcBorders>
              <w:top w:val="nil"/>
              <w:left w:val="nil"/>
              <w:bottom w:val="single" w:sz="4" w:space="0" w:color="auto"/>
              <w:right w:val="single" w:sz="4" w:space="0" w:color="auto"/>
            </w:tcBorders>
            <w:shd w:val="clear" w:color="auto" w:fill="auto"/>
            <w:noWrap/>
            <w:vAlign w:val="center"/>
            <w:hideMark/>
          </w:tcPr>
          <w:p w14:paraId="78122453"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c>
          <w:tcPr>
            <w:tcW w:w="558" w:type="pct"/>
            <w:tcBorders>
              <w:top w:val="nil"/>
              <w:left w:val="nil"/>
              <w:bottom w:val="single" w:sz="4" w:space="0" w:color="auto"/>
              <w:right w:val="single" w:sz="8" w:space="0" w:color="auto"/>
            </w:tcBorders>
            <w:shd w:val="clear" w:color="000000" w:fill="BFBFBF"/>
            <w:noWrap/>
            <w:vAlign w:val="center"/>
            <w:hideMark/>
          </w:tcPr>
          <w:p w14:paraId="6B08858D"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-23.437</w:t>
            </w:r>
          </w:p>
        </w:tc>
      </w:tr>
      <w:tr w:rsidR="006C72FB" w14:paraId="61B7A9F3" w14:textId="77777777" w:rsidTr="00F37CD6">
        <w:trPr>
          <w:trHeight w:val="642"/>
        </w:trPr>
        <w:tc>
          <w:tcPr>
            <w:tcW w:w="1130" w:type="pct"/>
            <w:tcBorders>
              <w:top w:val="nil"/>
              <w:left w:val="single" w:sz="8" w:space="0" w:color="auto"/>
              <w:bottom w:val="single" w:sz="8" w:space="0" w:color="auto"/>
              <w:right w:val="single" w:sz="4" w:space="0" w:color="auto"/>
            </w:tcBorders>
            <w:shd w:val="clear" w:color="000000" w:fill="BFBFBF"/>
            <w:vAlign w:val="center"/>
            <w:hideMark/>
          </w:tcPr>
          <w:p w14:paraId="148A2586" w14:textId="77777777" w:rsidR="009D0118" w:rsidRPr="009D0118" w:rsidRDefault="00A854D0" w:rsidP="009D0118">
            <w:pPr>
              <w:autoSpaceDE/>
              <w:autoSpaceDN/>
              <w:adjustRightInd/>
              <w:spacing w:after="0"/>
              <w:jc w:val="left"/>
              <w:rPr>
                <w:rFonts w:eastAsia="Times New Roman" w:cs="Arial"/>
                <w:b/>
                <w:bCs/>
                <w:sz w:val="16"/>
                <w:szCs w:val="16"/>
                <w:lang w:eastAsia="en-GB"/>
              </w:rPr>
            </w:pPr>
            <w:r w:rsidRPr="009D0118">
              <w:rPr>
                <w:rFonts w:eastAsia="Times New Roman" w:cs="Arial"/>
                <w:b/>
                <w:bCs/>
                <w:sz w:val="16"/>
                <w:szCs w:val="16"/>
                <w:lang w:eastAsia="en-GB"/>
              </w:rPr>
              <w:t>SUB TOTAL - COUNTY FUND</w:t>
            </w:r>
          </w:p>
        </w:tc>
        <w:tc>
          <w:tcPr>
            <w:tcW w:w="609" w:type="pct"/>
            <w:tcBorders>
              <w:top w:val="nil"/>
              <w:left w:val="nil"/>
              <w:bottom w:val="single" w:sz="8" w:space="0" w:color="auto"/>
              <w:right w:val="single" w:sz="4" w:space="0" w:color="auto"/>
            </w:tcBorders>
            <w:shd w:val="clear" w:color="000000" w:fill="BFBFBF"/>
            <w:noWrap/>
            <w:vAlign w:val="center"/>
            <w:hideMark/>
          </w:tcPr>
          <w:p w14:paraId="12CE3663"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-23.437</w:t>
            </w:r>
          </w:p>
        </w:tc>
        <w:tc>
          <w:tcPr>
            <w:tcW w:w="493" w:type="pct"/>
            <w:tcBorders>
              <w:top w:val="nil"/>
              <w:left w:val="nil"/>
              <w:bottom w:val="single" w:sz="8" w:space="0" w:color="auto"/>
              <w:right w:val="single" w:sz="4" w:space="0" w:color="auto"/>
            </w:tcBorders>
            <w:shd w:val="clear" w:color="000000" w:fill="BFBFBF"/>
            <w:noWrap/>
            <w:vAlign w:val="center"/>
            <w:hideMark/>
          </w:tcPr>
          <w:p w14:paraId="0C0929FE"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0.000</w:t>
            </w:r>
          </w:p>
        </w:tc>
        <w:tc>
          <w:tcPr>
            <w:tcW w:w="631" w:type="pct"/>
            <w:tcBorders>
              <w:top w:val="nil"/>
              <w:left w:val="nil"/>
              <w:bottom w:val="single" w:sz="8" w:space="0" w:color="auto"/>
              <w:right w:val="single" w:sz="4" w:space="0" w:color="auto"/>
            </w:tcBorders>
            <w:shd w:val="clear" w:color="000000" w:fill="BFBFBF"/>
            <w:noWrap/>
            <w:vAlign w:val="center"/>
            <w:hideMark/>
          </w:tcPr>
          <w:p w14:paraId="569CA753"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0.000</w:t>
            </w:r>
          </w:p>
        </w:tc>
        <w:tc>
          <w:tcPr>
            <w:tcW w:w="430" w:type="pct"/>
            <w:tcBorders>
              <w:top w:val="nil"/>
              <w:left w:val="nil"/>
              <w:bottom w:val="single" w:sz="8" w:space="0" w:color="auto"/>
              <w:right w:val="single" w:sz="4" w:space="0" w:color="auto"/>
            </w:tcBorders>
            <w:shd w:val="clear" w:color="000000" w:fill="BFBFBF"/>
            <w:noWrap/>
            <w:vAlign w:val="center"/>
            <w:hideMark/>
          </w:tcPr>
          <w:p w14:paraId="52CC01E1"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-23.437</w:t>
            </w:r>
          </w:p>
        </w:tc>
        <w:tc>
          <w:tcPr>
            <w:tcW w:w="381" w:type="pct"/>
            <w:tcBorders>
              <w:top w:val="nil"/>
              <w:left w:val="nil"/>
              <w:bottom w:val="single" w:sz="8" w:space="0" w:color="auto"/>
              <w:right w:val="single" w:sz="4" w:space="0" w:color="auto"/>
            </w:tcBorders>
            <w:shd w:val="clear" w:color="000000" w:fill="BFBFBF"/>
            <w:noWrap/>
            <w:vAlign w:val="center"/>
            <w:hideMark/>
          </w:tcPr>
          <w:p w14:paraId="7770EFB3"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0.000</w:t>
            </w:r>
          </w:p>
        </w:tc>
        <w:tc>
          <w:tcPr>
            <w:tcW w:w="381" w:type="pct"/>
            <w:tcBorders>
              <w:top w:val="nil"/>
              <w:left w:val="nil"/>
              <w:bottom w:val="single" w:sz="8" w:space="0" w:color="auto"/>
              <w:right w:val="single" w:sz="4" w:space="0" w:color="auto"/>
            </w:tcBorders>
            <w:shd w:val="clear" w:color="000000" w:fill="BFBFBF"/>
            <w:noWrap/>
            <w:vAlign w:val="center"/>
            <w:hideMark/>
          </w:tcPr>
          <w:p w14:paraId="42A8937F"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0.000</w:t>
            </w:r>
          </w:p>
        </w:tc>
        <w:tc>
          <w:tcPr>
            <w:tcW w:w="387" w:type="pct"/>
            <w:tcBorders>
              <w:top w:val="nil"/>
              <w:left w:val="nil"/>
              <w:bottom w:val="nil"/>
              <w:right w:val="single" w:sz="4" w:space="0" w:color="auto"/>
            </w:tcBorders>
            <w:shd w:val="clear" w:color="000000" w:fill="BFBFBF"/>
            <w:noWrap/>
            <w:vAlign w:val="center"/>
            <w:hideMark/>
          </w:tcPr>
          <w:p w14:paraId="582F5783"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0.000</w:t>
            </w:r>
          </w:p>
        </w:tc>
        <w:tc>
          <w:tcPr>
            <w:tcW w:w="558" w:type="pct"/>
            <w:tcBorders>
              <w:top w:val="nil"/>
              <w:left w:val="nil"/>
              <w:bottom w:val="nil"/>
              <w:right w:val="single" w:sz="8" w:space="0" w:color="auto"/>
            </w:tcBorders>
            <w:shd w:val="clear" w:color="000000" w:fill="BFBFBF"/>
            <w:noWrap/>
            <w:vAlign w:val="center"/>
            <w:hideMark/>
          </w:tcPr>
          <w:p w14:paraId="2B3D1768"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-23.437</w:t>
            </w:r>
          </w:p>
        </w:tc>
      </w:tr>
      <w:tr w:rsidR="006C72FB" w14:paraId="1A4EBC60" w14:textId="77777777" w:rsidTr="00F37CD6">
        <w:trPr>
          <w:trHeight w:val="642"/>
        </w:trPr>
        <w:tc>
          <w:tcPr>
            <w:tcW w:w="1130" w:type="pct"/>
            <w:tcBorders>
              <w:top w:val="nil"/>
              <w:left w:val="single" w:sz="8" w:space="0" w:color="auto"/>
              <w:bottom w:val="single" w:sz="4" w:space="0" w:color="auto"/>
              <w:right w:val="single" w:sz="4" w:space="0" w:color="auto"/>
            </w:tcBorders>
            <w:shd w:val="clear" w:color="auto" w:fill="auto"/>
            <w:vAlign w:val="center"/>
            <w:hideMark/>
          </w:tcPr>
          <w:p w14:paraId="5DFFBFD1" w14:textId="77777777" w:rsidR="009D0118" w:rsidRPr="009D0118" w:rsidRDefault="00A854D0" w:rsidP="009D0118">
            <w:pPr>
              <w:autoSpaceDE/>
              <w:autoSpaceDN/>
              <w:adjustRightInd/>
              <w:spacing w:after="0"/>
              <w:jc w:val="left"/>
              <w:rPr>
                <w:rFonts w:eastAsia="Times New Roman" w:cs="Arial"/>
                <w:sz w:val="16"/>
                <w:szCs w:val="16"/>
                <w:lang w:eastAsia="en-GB"/>
              </w:rPr>
            </w:pPr>
            <w:r w:rsidRPr="009D0118">
              <w:rPr>
                <w:rFonts w:eastAsia="Times New Roman" w:cs="Arial"/>
                <w:sz w:val="16"/>
                <w:szCs w:val="16"/>
                <w:lang w:eastAsia="en-GB"/>
              </w:rPr>
              <w:t>Strategic Investment Reserve</w:t>
            </w:r>
          </w:p>
        </w:tc>
        <w:tc>
          <w:tcPr>
            <w:tcW w:w="609" w:type="pct"/>
            <w:tcBorders>
              <w:top w:val="nil"/>
              <w:left w:val="nil"/>
              <w:bottom w:val="single" w:sz="4" w:space="0" w:color="auto"/>
              <w:right w:val="single" w:sz="4" w:space="0" w:color="auto"/>
            </w:tcBorders>
            <w:shd w:val="clear" w:color="auto" w:fill="auto"/>
            <w:noWrap/>
            <w:vAlign w:val="center"/>
            <w:hideMark/>
          </w:tcPr>
          <w:p w14:paraId="376EAE63"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-4.192</w:t>
            </w:r>
          </w:p>
        </w:tc>
        <w:tc>
          <w:tcPr>
            <w:tcW w:w="493" w:type="pct"/>
            <w:tcBorders>
              <w:top w:val="nil"/>
              <w:left w:val="nil"/>
              <w:bottom w:val="single" w:sz="4" w:space="0" w:color="auto"/>
              <w:right w:val="single" w:sz="4" w:space="0" w:color="auto"/>
            </w:tcBorders>
            <w:shd w:val="clear" w:color="auto" w:fill="auto"/>
            <w:noWrap/>
            <w:vAlign w:val="center"/>
            <w:hideMark/>
          </w:tcPr>
          <w:p w14:paraId="2C24D04D"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0.287</w:t>
            </w:r>
          </w:p>
        </w:tc>
        <w:tc>
          <w:tcPr>
            <w:tcW w:w="631" w:type="pct"/>
            <w:tcBorders>
              <w:top w:val="nil"/>
              <w:left w:val="nil"/>
              <w:bottom w:val="single" w:sz="4" w:space="0" w:color="auto"/>
              <w:right w:val="single" w:sz="4" w:space="0" w:color="auto"/>
            </w:tcBorders>
            <w:shd w:val="clear" w:color="auto" w:fill="auto"/>
            <w:noWrap/>
            <w:vAlign w:val="center"/>
            <w:hideMark/>
          </w:tcPr>
          <w:p w14:paraId="1B57E6A0"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c>
          <w:tcPr>
            <w:tcW w:w="430" w:type="pct"/>
            <w:tcBorders>
              <w:top w:val="single" w:sz="4" w:space="0" w:color="auto"/>
              <w:left w:val="nil"/>
              <w:bottom w:val="single" w:sz="4" w:space="0" w:color="auto"/>
              <w:right w:val="single" w:sz="4" w:space="0" w:color="auto"/>
            </w:tcBorders>
            <w:shd w:val="clear" w:color="000000" w:fill="BFBFBF"/>
            <w:noWrap/>
            <w:vAlign w:val="center"/>
            <w:hideMark/>
          </w:tcPr>
          <w:p w14:paraId="16375B00"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-3.905</w:t>
            </w:r>
          </w:p>
        </w:tc>
        <w:tc>
          <w:tcPr>
            <w:tcW w:w="381" w:type="pct"/>
            <w:tcBorders>
              <w:top w:val="nil"/>
              <w:left w:val="nil"/>
              <w:bottom w:val="single" w:sz="4" w:space="0" w:color="auto"/>
              <w:right w:val="single" w:sz="4" w:space="0" w:color="auto"/>
            </w:tcBorders>
            <w:shd w:val="clear" w:color="auto" w:fill="auto"/>
            <w:noWrap/>
            <w:vAlign w:val="center"/>
            <w:hideMark/>
          </w:tcPr>
          <w:p w14:paraId="64AABE6D"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0.469</w:t>
            </w:r>
          </w:p>
        </w:tc>
        <w:tc>
          <w:tcPr>
            <w:tcW w:w="381" w:type="pct"/>
            <w:tcBorders>
              <w:top w:val="nil"/>
              <w:left w:val="nil"/>
              <w:bottom w:val="single" w:sz="4" w:space="0" w:color="auto"/>
              <w:right w:val="single" w:sz="4" w:space="0" w:color="auto"/>
            </w:tcBorders>
            <w:shd w:val="clear" w:color="auto" w:fill="auto"/>
            <w:noWrap/>
            <w:vAlign w:val="center"/>
            <w:hideMark/>
          </w:tcPr>
          <w:p w14:paraId="05585AFB"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0.047</w:t>
            </w:r>
          </w:p>
        </w:tc>
        <w:tc>
          <w:tcPr>
            <w:tcW w:w="387" w:type="pct"/>
            <w:tcBorders>
              <w:top w:val="single" w:sz="8" w:space="0" w:color="auto"/>
              <w:left w:val="nil"/>
              <w:bottom w:val="single" w:sz="4" w:space="0" w:color="auto"/>
              <w:right w:val="single" w:sz="4" w:space="0" w:color="auto"/>
            </w:tcBorders>
            <w:shd w:val="clear" w:color="auto" w:fill="auto"/>
            <w:noWrap/>
            <w:vAlign w:val="center"/>
            <w:hideMark/>
          </w:tcPr>
          <w:p w14:paraId="29A6FA92"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c>
          <w:tcPr>
            <w:tcW w:w="558" w:type="pct"/>
            <w:tcBorders>
              <w:top w:val="single" w:sz="8" w:space="0" w:color="auto"/>
              <w:left w:val="nil"/>
              <w:bottom w:val="single" w:sz="4" w:space="0" w:color="auto"/>
              <w:right w:val="single" w:sz="8" w:space="0" w:color="auto"/>
            </w:tcBorders>
            <w:shd w:val="clear" w:color="000000" w:fill="BFBFBF"/>
            <w:noWrap/>
            <w:vAlign w:val="center"/>
            <w:hideMark/>
          </w:tcPr>
          <w:p w14:paraId="05E76D0A"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-3.389</w:t>
            </w:r>
          </w:p>
        </w:tc>
      </w:tr>
      <w:tr w:rsidR="006C72FB" w14:paraId="7F349307" w14:textId="77777777" w:rsidTr="00F37CD6">
        <w:trPr>
          <w:trHeight w:val="642"/>
        </w:trPr>
        <w:tc>
          <w:tcPr>
            <w:tcW w:w="1130" w:type="pct"/>
            <w:tcBorders>
              <w:top w:val="nil"/>
              <w:left w:val="single" w:sz="8" w:space="0" w:color="auto"/>
              <w:bottom w:val="single" w:sz="4" w:space="0" w:color="auto"/>
              <w:right w:val="single" w:sz="4" w:space="0" w:color="auto"/>
            </w:tcBorders>
            <w:shd w:val="clear" w:color="auto" w:fill="auto"/>
            <w:vAlign w:val="center"/>
            <w:hideMark/>
          </w:tcPr>
          <w:p w14:paraId="599D7B00" w14:textId="77777777" w:rsidR="009D0118" w:rsidRPr="009D0118" w:rsidRDefault="00A854D0" w:rsidP="009D0118">
            <w:pPr>
              <w:autoSpaceDE/>
              <w:autoSpaceDN/>
              <w:adjustRightInd/>
              <w:spacing w:after="0"/>
              <w:jc w:val="left"/>
              <w:rPr>
                <w:rFonts w:eastAsia="Times New Roman" w:cs="Arial"/>
                <w:sz w:val="16"/>
                <w:szCs w:val="16"/>
                <w:lang w:eastAsia="en-GB"/>
              </w:rPr>
            </w:pPr>
            <w:r w:rsidRPr="009D0118">
              <w:rPr>
                <w:rFonts w:eastAsia="Times New Roman" w:cs="Arial"/>
                <w:sz w:val="16"/>
                <w:szCs w:val="16"/>
                <w:lang w:eastAsia="en-GB"/>
              </w:rPr>
              <w:t>COVID-19 Reserve</w:t>
            </w:r>
          </w:p>
        </w:tc>
        <w:tc>
          <w:tcPr>
            <w:tcW w:w="609" w:type="pct"/>
            <w:tcBorders>
              <w:top w:val="nil"/>
              <w:left w:val="nil"/>
              <w:bottom w:val="single" w:sz="4" w:space="0" w:color="auto"/>
              <w:right w:val="single" w:sz="4" w:space="0" w:color="auto"/>
            </w:tcBorders>
            <w:shd w:val="clear" w:color="auto" w:fill="auto"/>
            <w:noWrap/>
            <w:vAlign w:val="center"/>
            <w:hideMark/>
          </w:tcPr>
          <w:p w14:paraId="09849DD3"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-11.048</w:t>
            </w:r>
          </w:p>
        </w:tc>
        <w:tc>
          <w:tcPr>
            <w:tcW w:w="493" w:type="pct"/>
            <w:tcBorders>
              <w:top w:val="nil"/>
              <w:left w:val="nil"/>
              <w:bottom w:val="single" w:sz="4" w:space="0" w:color="auto"/>
              <w:right w:val="single" w:sz="4" w:space="0" w:color="auto"/>
            </w:tcBorders>
            <w:shd w:val="clear" w:color="auto" w:fill="auto"/>
            <w:noWrap/>
            <w:vAlign w:val="center"/>
            <w:hideMark/>
          </w:tcPr>
          <w:p w14:paraId="3FA74D91"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9.108</w:t>
            </w:r>
          </w:p>
        </w:tc>
        <w:tc>
          <w:tcPr>
            <w:tcW w:w="631" w:type="pct"/>
            <w:tcBorders>
              <w:top w:val="nil"/>
              <w:left w:val="nil"/>
              <w:bottom w:val="single" w:sz="4" w:space="0" w:color="auto"/>
              <w:right w:val="single" w:sz="4" w:space="0" w:color="auto"/>
            </w:tcBorders>
            <w:shd w:val="clear" w:color="auto" w:fill="auto"/>
            <w:noWrap/>
            <w:vAlign w:val="center"/>
            <w:hideMark/>
          </w:tcPr>
          <w:p w14:paraId="10578A12"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c>
          <w:tcPr>
            <w:tcW w:w="430" w:type="pct"/>
            <w:tcBorders>
              <w:top w:val="nil"/>
              <w:left w:val="nil"/>
              <w:bottom w:val="single" w:sz="4" w:space="0" w:color="auto"/>
              <w:right w:val="single" w:sz="4" w:space="0" w:color="auto"/>
            </w:tcBorders>
            <w:shd w:val="clear" w:color="000000" w:fill="BFBFBF"/>
            <w:noWrap/>
            <w:vAlign w:val="center"/>
            <w:hideMark/>
          </w:tcPr>
          <w:p w14:paraId="09589894"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-1.940</w:t>
            </w:r>
          </w:p>
        </w:tc>
        <w:tc>
          <w:tcPr>
            <w:tcW w:w="381" w:type="pct"/>
            <w:tcBorders>
              <w:top w:val="nil"/>
              <w:left w:val="nil"/>
              <w:bottom w:val="single" w:sz="4" w:space="0" w:color="auto"/>
              <w:right w:val="single" w:sz="4" w:space="0" w:color="auto"/>
            </w:tcBorders>
            <w:shd w:val="clear" w:color="auto" w:fill="auto"/>
            <w:noWrap/>
            <w:vAlign w:val="center"/>
            <w:hideMark/>
          </w:tcPr>
          <w:p w14:paraId="26E2168C"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1.548</w:t>
            </w:r>
          </w:p>
        </w:tc>
        <w:tc>
          <w:tcPr>
            <w:tcW w:w="381" w:type="pct"/>
            <w:tcBorders>
              <w:top w:val="nil"/>
              <w:left w:val="nil"/>
              <w:bottom w:val="single" w:sz="4" w:space="0" w:color="auto"/>
              <w:right w:val="single" w:sz="4" w:space="0" w:color="auto"/>
            </w:tcBorders>
            <w:shd w:val="clear" w:color="auto" w:fill="auto"/>
            <w:noWrap/>
            <w:vAlign w:val="center"/>
            <w:hideMark/>
          </w:tcPr>
          <w:p w14:paraId="4A87B5DA"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0.252</w:t>
            </w:r>
          </w:p>
        </w:tc>
        <w:tc>
          <w:tcPr>
            <w:tcW w:w="387" w:type="pct"/>
            <w:tcBorders>
              <w:top w:val="nil"/>
              <w:left w:val="nil"/>
              <w:bottom w:val="single" w:sz="4" w:space="0" w:color="auto"/>
              <w:right w:val="single" w:sz="4" w:space="0" w:color="auto"/>
            </w:tcBorders>
            <w:shd w:val="clear" w:color="auto" w:fill="auto"/>
            <w:noWrap/>
            <w:vAlign w:val="center"/>
            <w:hideMark/>
          </w:tcPr>
          <w:p w14:paraId="5358407D"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0.038</w:t>
            </w:r>
          </w:p>
        </w:tc>
        <w:tc>
          <w:tcPr>
            <w:tcW w:w="558" w:type="pct"/>
            <w:tcBorders>
              <w:top w:val="nil"/>
              <w:left w:val="nil"/>
              <w:bottom w:val="single" w:sz="4" w:space="0" w:color="auto"/>
              <w:right w:val="single" w:sz="8" w:space="0" w:color="auto"/>
            </w:tcBorders>
            <w:shd w:val="clear" w:color="000000" w:fill="BFBFBF"/>
            <w:noWrap/>
            <w:vAlign w:val="center"/>
            <w:hideMark/>
          </w:tcPr>
          <w:p w14:paraId="7BAEE282"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-0.102</w:t>
            </w:r>
          </w:p>
        </w:tc>
      </w:tr>
      <w:tr w:rsidR="006C72FB" w14:paraId="24299108" w14:textId="77777777" w:rsidTr="00F37CD6">
        <w:trPr>
          <w:trHeight w:val="642"/>
        </w:trPr>
        <w:tc>
          <w:tcPr>
            <w:tcW w:w="1130" w:type="pct"/>
            <w:tcBorders>
              <w:top w:val="nil"/>
              <w:left w:val="single" w:sz="8" w:space="0" w:color="auto"/>
              <w:bottom w:val="single" w:sz="4" w:space="0" w:color="auto"/>
              <w:right w:val="single" w:sz="4" w:space="0" w:color="auto"/>
            </w:tcBorders>
            <w:shd w:val="clear" w:color="auto" w:fill="auto"/>
            <w:vAlign w:val="center"/>
            <w:hideMark/>
          </w:tcPr>
          <w:p w14:paraId="1EF972D9" w14:textId="77777777" w:rsidR="009D0118" w:rsidRPr="009D0118" w:rsidRDefault="00A854D0" w:rsidP="009D0118">
            <w:pPr>
              <w:autoSpaceDE/>
              <w:autoSpaceDN/>
              <w:adjustRightInd/>
              <w:spacing w:after="0"/>
              <w:jc w:val="left"/>
              <w:rPr>
                <w:rFonts w:eastAsia="Times New Roman" w:cs="Arial"/>
                <w:sz w:val="16"/>
                <w:szCs w:val="16"/>
                <w:lang w:eastAsia="en-GB"/>
              </w:rPr>
            </w:pPr>
            <w:r w:rsidRPr="009D0118">
              <w:rPr>
                <w:rFonts w:eastAsia="Times New Roman" w:cs="Arial"/>
                <w:sz w:val="16"/>
                <w:szCs w:val="16"/>
                <w:lang w:eastAsia="en-GB"/>
              </w:rPr>
              <w:t>Downsizing Reserve</w:t>
            </w:r>
          </w:p>
        </w:tc>
        <w:tc>
          <w:tcPr>
            <w:tcW w:w="609" w:type="pct"/>
            <w:tcBorders>
              <w:top w:val="nil"/>
              <w:left w:val="nil"/>
              <w:bottom w:val="single" w:sz="4" w:space="0" w:color="auto"/>
              <w:right w:val="single" w:sz="4" w:space="0" w:color="auto"/>
            </w:tcBorders>
            <w:shd w:val="clear" w:color="auto" w:fill="auto"/>
            <w:noWrap/>
            <w:vAlign w:val="center"/>
            <w:hideMark/>
          </w:tcPr>
          <w:p w14:paraId="62B7B9AF"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-5.454</w:t>
            </w:r>
          </w:p>
        </w:tc>
        <w:tc>
          <w:tcPr>
            <w:tcW w:w="493" w:type="pct"/>
            <w:tcBorders>
              <w:top w:val="nil"/>
              <w:left w:val="nil"/>
              <w:bottom w:val="single" w:sz="4" w:space="0" w:color="auto"/>
              <w:right w:val="single" w:sz="4" w:space="0" w:color="auto"/>
            </w:tcBorders>
            <w:shd w:val="clear" w:color="auto" w:fill="auto"/>
            <w:noWrap/>
            <w:vAlign w:val="center"/>
            <w:hideMark/>
          </w:tcPr>
          <w:p w14:paraId="3D5B5A06"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1.410</w:t>
            </w:r>
          </w:p>
        </w:tc>
        <w:tc>
          <w:tcPr>
            <w:tcW w:w="631" w:type="pct"/>
            <w:tcBorders>
              <w:top w:val="nil"/>
              <w:left w:val="nil"/>
              <w:bottom w:val="single" w:sz="4" w:space="0" w:color="auto"/>
              <w:right w:val="single" w:sz="4" w:space="0" w:color="auto"/>
            </w:tcBorders>
            <w:shd w:val="clear" w:color="auto" w:fill="auto"/>
            <w:noWrap/>
            <w:vAlign w:val="center"/>
            <w:hideMark/>
          </w:tcPr>
          <w:p w14:paraId="74995DC9"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c>
          <w:tcPr>
            <w:tcW w:w="430" w:type="pct"/>
            <w:tcBorders>
              <w:top w:val="nil"/>
              <w:left w:val="nil"/>
              <w:bottom w:val="single" w:sz="4" w:space="0" w:color="auto"/>
              <w:right w:val="single" w:sz="4" w:space="0" w:color="auto"/>
            </w:tcBorders>
            <w:shd w:val="clear" w:color="000000" w:fill="BFBFBF"/>
            <w:noWrap/>
            <w:vAlign w:val="center"/>
            <w:hideMark/>
          </w:tcPr>
          <w:p w14:paraId="3AAFDE68"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-4.044</w:t>
            </w:r>
          </w:p>
        </w:tc>
        <w:tc>
          <w:tcPr>
            <w:tcW w:w="381" w:type="pct"/>
            <w:tcBorders>
              <w:top w:val="nil"/>
              <w:left w:val="nil"/>
              <w:bottom w:val="single" w:sz="4" w:space="0" w:color="auto"/>
              <w:right w:val="single" w:sz="4" w:space="0" w:color="auto"/>
            </w:tcBorders>
            <w:shd w:val="clear" w:color="auto" w:fill="auto"/>
            <w:noWrap/>
            <w:vAlign w:val="center"/>
            <w:hideMark/>
          </w:tcPr>
          <w:p w14:paraId="07F41553"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2.022</w:t>
            </w:r>
          </w:p>
        </w:tc>
        <w:tc>
          <w:tcPr>
            <w:tcW w:w="381" w:type="pct"/>
            <w:tcBorders>
              <w:top w:val="nil"/>
              <w:left w:val="nil"/>
              <w:bottom w:val="single" w:sz="4" w:space="0" w:color="auto"/>
              <w:right w:val="single" w:sz="4" w:space="0" w:color="auto"/>
            </w:tcBorders>
            <w:shd w:val="clear" w:color="auto" w:fill="auto"/>
            <w:noWrap/>
            <w:vAlign w:val="center"/>
            <w:hideMark/>
          </w:tcPr>
          <w:p w14:paraId="39E2C6F4"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2.022</w:t>
            </w:r>
          </w:p>
        </w:tc>
        <w:tc>
          <w:tcPr>
            <w:tcW w:w="387" w:type="pct"/>
            <w:tcBorders>
              <w:top w:val="nil"/>
              <w:left w:val="nil"/>
              <w:bottom w:val="single" w:sz="4" w:space="0" w:color="auto"/>
              <w:right w:val="single" w:sz="4" w:space="0" w:color="auto"/>
            </w:tcBorders>
            <w:shd w:val="clear" w:color="auto" w:fill="auto"/>
            <w:noWrap/>
            <w:vAlign w:val="center"/>
            <w:hideMark/>
          </w:tcPr>
          <w:p w14:paraId="4BF74227"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c>
          <w:tcPr>
            <w:tcW w:w="558" w:type="pct"/>
            <w:tcBorders>
              <w:top w:val="nil"/>
              <w:left w:val="nil"/>
              <w:bottom w:val="single" w:sz="4" w:space="0" w:color="auto"/>
              <w:right w:val="single" w:sz="8" w:space="0" w:color="auto"/>
            </w:tcBorders>
            <w:shd w:val="clear" w:color="000000" w:fill="BFBFBF"/>
            <w:noWrap/>
            <w:vAlign w:val="center"/>
            <w:hideMark/>
          </w:tcPr>
          <w:p w14:paraId="67B19EE4"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r>
      <w:tr w:rsidR="006C72FB" w14:paraId="4A19426E" w14:textId="77777777" w:rsidTr="00F37CD6">
        <w:trPr>
          <w:trHeight w:val="642"/>
        </w:trPr>
        <w:tc>
          <w:tcPr>
            <w:tcW w:w="1130" w:type="pct"/>
            <w:tcBorders>
              <w:top w:val="nil"/>
              <w:left w:val="single" w:sz="8" w:space="0" w:color="auto"/>
              <w:bottom w:val="single" w:sz="4" w:space="0" w:color="auto"/>
              <w:right w:val="single" w:sz="4" w:space="0" w:color="auto"/>
            </w:tcBorders>
            <w:shd w:val="clear" w:color="auto" w:fill="auto"/>
            <w:vAlign w:val="center"/>
            <w:hideMark/>
          </w:tcPr>
          <w:p w14:paraId="69ADB193" w14:textId="77777777" w:rsidR="009D0118" w:rsidRPr="009D0118" w:rsidRDefault="00A854D0" w:rsidP="009D0118">
            <w:pPr>
              <w:autoSpaceDE/>
              <w:autoSpaceDN/>
              <w:adjustRightInd/>
              <w:spacing w:after="0"/>
              <w:jc w:val="left"/>
              <w:rPr>
                <w:rFonts w:eastAsia="Times New Roman" w:cs="Arial"/>
                <w:sz w:val="16"/>
                <w:szCs w:val="16"/>
                <w:lang w:eastAsia="en-GB"/>
              </w:rPr>
            </w:pPr>
            <w:r w:rsidRPr="009D0118">
              <w:rPr>
                <w:rFonts w:eastAsia="Times New Roman" w:cs="Arial"/>
                <w:sz w:val="16"/>
                <w:szCs w:val="16"/>
                <w:lang w:eastAsia="en-GB"/>
              </w:rPr>
              <w:t xml:space="preserve">Risk Management Reserve </w:t>
            </w:r>
          </w:p>
        </w:tc>
        <w:tc>
          <w:tcPr>
            <w:tcW w:w="609" w:type="pct"/>
            <w:tcBorders>
              <w:top w:val="nil"/>
              <w:left w:val="nil"/>
              <w:bottom w:val="single" w:sz="4" w:space="0" w:color="auto"/>
              <w:right w:val="single" w:sz="4" w:space="0" w:color="auto"/>
            </w:tcBorders>
            <w:shd w:val="clear" w:color="auto" w:fill="auto"/>
            <w:noWrap/>
            <w:vAlign w:val="center"/>
            <w:hideMark/>
          </w:tcPr>
          <w:p w14:paraId="47825428"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-4.276</w:t>
            </w:r>
          </w:p>
        </w:tc>
        <w:tc>
          <w:tcPr>
            <w:tcW w:w="493" w:type="pct"/>
            <w:tcBorders>
              <w:top w:val="nil"/>
              <w:left w:val="nil"/>
              <w:bottom w:val="single" w:sz="4" w:space="0" w:color="auto"/>
              <w:right w:val="single" w:sz="4" w:space="0" w:color="auto"/>
            </w:tcBorders>
            <w:shd w:val="clear" w:color="auto" w:fill="auto"/>
            <w:noWrap/>
            <w:vAlign w:val="center"/>
            <w:hideMark/>
          </w:tcPr>
          <w:p w14:paraId="6DE350C1"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1.027</w:t>
            </w:r>
          </w:p>
        </w:tc>
        <w:tc>
          <w:tcPr>
            <w:tcW w:w="631" w:type="pct"/>
            <w:tcBorders>
              <w:top w:val="nil"/>
              <w:left w:val="nil"/>
              <w:bottom w:val="single" w:sz="4" w:space="0" w:color="auto"/>
              <w:right w:val="single" w:sz="4" w:space="0" w:color="auto"/>
            </w:tcBorders>
            <w:shd w:val="clear" w:color="auto" w:fill="auto"/>
            <w:noWrap/>
            <w:vAlign w:val="center"/>
            <w:hideMark/>
          </w:tcPr>
          <w:p w14:paraId="449DEE3B"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c>
          <w:tcPr>
            <w:tcW w:w="430" w:type="pct"/>
            <w:tcBorders>
              <w:top w:val="nil"/>
              <w:left w:val="nil"/>
              <w:bottom w:val="single" w:sz="4" w:space="0" w:color="auto"/>
              <w:right w:val="single" w:sz="4" w:space="0" w:color="auto"/>
            </w:tcBorders>
            <w:shd w:val="clear" w:color="000000" w:fill="BFBFBF"/>
            <w:noWrap/>
            <w:vAlign w:val="center"/>
            <w:hideMark/>
          </w:tcPr>
          <w:p w14:paraId="79C9197C"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-3.249</w:t>
            </w:r>
          </w:p>
        </w:tc>
        <w:tc>
          <w:tcPr>
            <w:tcW w:w="381" w:type="pct"/>
            <w:tcBorders>
              <w:top w:val="nil"/>
              <w:left w:val="nil"/>
              <w:bottom w:val="single" w:sz="4" w:space="0" w:color="auto"/>
              <w:right w:val="single" w:sz="4" w:space="0" w:color="auto"/>
            </w:tcBorders>
            <w:shd w:val="clear" w:color="auto" w:fill="auto"/>
            <w:noWrap/>
            <w:vAlign w:val="center"/>
            <w:hideMark/>
          </w:tcPr>
          <w:p w14:paraId="32E391E6"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c>
          <w:tcPr>
            <w:tcW w:w="381" w:type="pct"/>
            <w:tcBorders>
              <w:top w:val="nil"/>
              <w:left w:val="nil"/>
              <w:bottom w:val="single" w:sz="4" w:space="0" w:color="auto"/>
              <w:right w:val="single" w:sz="4" w:space="0" w:color="auto"/>
            </w:tcBorders>
            <w:shd w:val="clear" w:color="auto" w:fill="auto"/>
            <w:noWrap/>
            <w:vAlign w:val="center"/>
            <w:hideMark/>
          </w:tcPr>
          <w:p w14:paraId="5F60F51A"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c>
          <w:tcPr>
            <w:tcW w:w="387" w:type="pct"/>
            <w:tcBorders>
              <w:top w:val="nil"/>
              <w:left w:val="nil"/>
              <w:bottom w:val="single" w:sz="4" w:space="0" w:color="auto"/>
              <w:right w:val="single" w:sz="4" w:space="0" w:color="auto"/>
            </w:tcBorders>
            <w:shd w:val="clear" w:color="auto" w:fill="auto"/>
            <w:noWrap/>
            <w:vAlign w:val="center"/>
            <w:hideMark/>
          </w:tcPr>
          <w:p w14:paraId="25A7CA67"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c>
          <w:tcPr>
            <w:tcW w:w="558" w:type="pct"/>
            <w:tcBorders>
              <w:top w:val="nil"/>
              <w:left w:val="nil"/>
              <w:bottom w:val="single" w:sz="4" w:space="0" w:color="auto"/>
              <w:right w:val="single" w:sz="8" w:space="0" w:color="auto"/>
            </w:tcBorders>
            <w:shd w:val="clear" w:color="000000" w:fill="BFBFBF"/>
            <w:noWrap/>
            <w:vAlign w:val="center"/>
            <w:hideMark/>
          </w:tcPr>
          <w:p w14:paraId="310C90BC"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-3.249</w:t>
            </w:r>
          </w:p>
        </w:tc>
      </w:tr>
      <w:tr w:rsidR="006C72FB" w14:paraId="31D26794" w14:textId="77777777" w:rsidTr="00F37CD6">
        <w:trPr>
          <w:trHeight w:val="642"/>
        </w:trPr>
        <w:tc>
          <w:tcPr>
            <w:tcW w:w="1130" w:type="pct"/>
            <w:tcBorders>
              <w:top w:val="nil"/>
              <w:left w:val="single" w:sz="8" w:space="0" w:color="auto"/>
              <w:bottom w:val="single" w:sz="4" w:space="0" w:color="auto"/>
              <w:right w:val="single" w:sz="4" w:space="0" w:color="auto"/>
            </w:tcBorders>
            <w:shd w:val="clear" w:color="auto" w:fill="auto"/>
            <w:vAlign w:val="center"/>
            <w:hideMark/>
          </w:tcPr>
          <w:p w14:paraId="46165066" w14:textId="77777777" w:rsidR="009D0118" w:rsidRPr="009D0118" w:rsidRDefault="00A854D0" w:rsidP="009D0118">
            <w:pPr>
              <w:autoSpaceDE/>
              <w:autoSpaceDN/>
              <w:adjustRightInd/>
              <w:spacing w:after="0"/>
              <w:jc w:val="left"/>
              <w:rPr>
                <w:rFonts w:eastAsia="Times New Roman" w:cs="Arial"/>
                <w:sz w:val="16"/>
                <w:szCs w:val="16"/>
                <w:lang w:eastAsia="en-GB"/>
              </w:rPr>
            </w:pPr>
            <w:r w:rsidRPr="009D0118">
              <w:rPr>
                <w:rFonts w:eastAsia="Times New Roman" w:cs="Arial"/>
                <w:sz w:val="16"/>
                <w:szCs w:val="16"/>
                <w:lang w:eastAsia="en-GB"/>
              </w:rPr>
              <w:t>Transitional Reserve</w:t>
            </w:r>
          </w:p>
        </w:tc>
        <w:tc>
          <w:tcPr>
            <w:tcW w:w="609" w:type="pct"/>
            <w:tcBorders>
              <w:top w:val="nil"/>
              <w:left w:val="nil"/>
              <w:bottom w:val="single" w:sz="4" w:space="0" w:color="auto"/>
              <w:right w:val="single" w:sz="4" w:space="0" w:color="auto"/>
            </w:tcBorders>
            <w:shd w:val="clear" w:color="auto" w:fill="auto"/>
            <w:noWrap/>
            <w:vAlign w:val="center"/>
            <w:hideMark/>
          </w:tcPr>
          <w:p w14:paraId="61173C1C"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-215.777</w:t>
            </w:r>
          </w:p>
        </w:tc>
        <w:tc>
          <w:tcPr>
            <w:tcW w:w="493" w:type="pct"/>
            <w:tcBorders>
              <w:top w:val="nil"/>
              <w:left w:val="nil"/>
              <w:bottom w:val="single" w:sz="4" w:space="0" w:color="auto"/>
              <w:right w:val="single" w:sz="4" w:space="0" w:color="auto"/>
            </w:tcBorders>
            <w:shd w:val="clear" w:color="auto" w:fill="auto"/>
            <w:noWrap/>
            <w:vAlign w:val="center"/>
            <w:hideMark/>
          </w:tcPr>
          <w:p w14:paraId="5369DCF5"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24.684</w:t>
            </w:r>
          </w:p>
        </w:tc>
        <w:tc>
          <w:tcPr>
            <w:tcW w:w="631" w:type="pct"/>
            <w:tcBorders>
              <w:top w:val="nil"/>
              <w:left w:val="nil"/>
              <w:bottom w:val="single" w:sz="4" w:space="0" w:color="auto"/>
              <w:right w:val="single" w:sz="4" w:space="0" w:color="auto"/>
            </w:tcBorders>
            <w:shd w:val="clear" w:color="auto" w:fill="auto"/>
            <w:noWrap/>
            <w:vAlign w:val="center"/>
            <w:hideMark/>
          </w:tcPr>
          <w:p w14:paraId="1F4E743A"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c>
          <w:tcPr>
            <w:tcW w:w="430" w:type="pct"/>
            <w:tcBorders>
              <w:top w:val="nil"/>
              <w:left w:val="nil"/>
              <w:bottom w:val="single" w:sz="4" w:space="0" w:color="auto"/>
              <w:right w:val="single" w:sz="4" w:space="0" w:color="auto"/>
            </w:tcBorders>
            <w:shd w:val="clear" w:color="000000" w:fill="BFBFBF"/>
            <w:noWrap/>
            <w:vAlign w:val="center"/>
            <w:hideMark/>
          </w:tcPr>
          <w:p w14:paraId="1FCDAB04"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-191.093</w:t>
            </w:r>
          </w:p>
        </w:tc>
        <w:tc>
          <w:tcPr>
            <w:tcW w:w="381" w:type="pct"/>
            <w:tcBorders>
              <w:top w:val="nil"/>
              <w:left w:val="nil"/>
              <w:bottom w:val="single" w:sz="4" w:space="0" w:color="auto"/>
              <w:right w:val="single" w:sz="4" w:space="0" w:color="auto"/>
            </w:tcBorders>
            <w:shd w:val="clear" w:color="auto" w:fill="auto"/>
            <w:noWrap/>
            <w:vAlign w:val="center"/>
            <w:hideMark/>
          </w:tcPr>
          <w:p w14:paraId="3026790B"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4.552</w:t>
            </w:r>
          </w:p>
        </w:tc>
        <w:tc>
          <w:tcPr>
            <w:tcW w:w="381" w:type="pct"/>
            <w:tcBorders>
              <w:top w:val="nil"/>
              <w:left w:val="nil"/>
              <w:bottom w:val="single" w:sz="4" w:space="0" w:color="auto"/>
              <w:right w:val="single" w:sz="4" w:space="0" w:color="auto"/>
            </w:tcBorders>
            <w:shd w:val="clear" w:color="auto" w:fill="auto"/>
            <w:noWrap/>
            <w:vAlign w:val="center"/>
            <w:hideMark/>
          </w:tcPr>
          <w:p w14:paraId="4EFE6480"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2.484</w:t>
            </w:r>
          </w:p>
        </w:tc>
        <w:tc>
          <w:tcPr>
            <w:tcW w:w="387" w:type="pct"/>
            <w:tcBorders>
              <w:top w:val="nil"/>
              <w:left w:val="nil"/>
              <w:bottom w:val="single" w:sz="4" w:space="0" w:color="auto"/>
              <w:right w:val="single" w:sz="4" w:space="0" w:color="auto"/>
            </w:tcBorders>
            <w:shd w:val="clear" w:color="auto" w:fill="auto"/>
            <w:noWrap/>
            <w:vAlign w:val="center"/>
            <w:hideMark/>
          </w:tcPr>
          <w:p w14:paraId="1062639C"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c>
          <w:tcPr>
            <w:tcW w:w="558" w:type="pct"/>
            <w:tcBorders>
              <w:top w:val="nil"/>
              <w:left w:val="nil"/>
              <w:bottom w:val="single" w:sz="4" w:space="0" w:color="auto"/>
              <w:right w:val="single" w:sz="8" w:space="0" w:color="auto"/>
            </w:tcBorders>
            <w:shd w:val="clear" w:color="000000" w:fill="BFBFBF"/>
            <w:noWrap/>
            <w:vAlign w:val="center"/>
            <w:hideMark/>
          </w:tcPr>
          <w:p w14:paraId="29941ABC"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-184.057</w:t>
            </w:r>
          </w:p>
        </w:tc>
      </w:tr>
      <w:tr w:rsidR="006C72FB" w14:paraId="1188B3FE" w14:textId="77777777" w:rsidTr="00F37CD6">
        <w:trPr>
          <w:trHeight w:val="642"/>
        </w:trPr>
        <w:tc>
          <w:tcPr>
            <w:tcW w:w="1130" w:type="pct"/>
            <w:tcBorders>
              <w:top w:val="nil"/>
              <w:left w:val="single" w:sz="8" w:space="0" w:color="auto"/>
              <w:bottom w:val="single" w:sz="4" w:space="0" w:color="auto"/>
              <w:right w:val="single" w:sz="4" w:space="0" w:color="auto"/>
            </w:tcBorders>
            <w:shd w:val="clear" w:color="auto" w:fill="auto"/>
            <w:vAlign w:val="center"/>
            <w:hideMark/>
          </w:tcPr>
          <w:p w14:paraId="6FDC64F7" w14:textId="77777777" w:rsidR="009D0118" w:rsidRPr="009D0118" w:rsidRDefault="00A854D0" w:rsidP="009D0118">
            <w:pPr>
              <w:autoSpaceDE/>
              <w:autoSpaceDN/>
              <w:adjustRightInd/>
              <w:spacing w:after="0"/>
              <w:jc w:val="left"/>
              <w:rPr>
                <w:rFonts w:eastAsia="Times New Roman" w:cs="Arial"/>
                <w:sz w:val="16"/>
                <w:szCs w:val="16"/>
                <w:lang w:eastAsia="en-GB"/>
              </w:rPr>
            </w:pPr>
            <w:r w:rsidRPr="009D0118">
              <w:rPr>
                <w:rFonts w:eastAsia="Times New Roman" w:cs="Arial"/>
                <w:sz w:val="16"/>
                <w:szCs w:val="16"/>
                <w:lang w:eastAsia="en-GB"/>
              </w:rPr>
              <w:t>Business Rates Volatility Reserve</w:t>
            </w:r>
          </w:p>
        </w:tc>
        <w:tc>
          <w:tcPr>
            <w:tcW w:w="609" w:type="pct"/>
            <w:tcBorders>
              <w:top w:val="nil"/>
              <w:left w:val="nil"/>
              <w:bottom w:val="single" w:sz="4" w:space="0" w:color="auto"/>
              <w:right w:val="single" w:sz="4" w:space="0" w:color="auto"/>
            </w:tcBorders>
            <w:shd w:val="clear" w:color="auto" w:fill="auto"/>
            <w:noWrap/>
            <w:vAlign w:val="center"/>
            <w:hideMark/>
          </w:tcPr>
          <w:p w14:paraId="751A4D84"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-5.000</w:t>
            </w:r>
          </w:p>
        </w:tc>
        <w:tc>
          <w:tcPr>
            <w:tcW w:w="493" w:type="pct"/>
            <w:tcBorders>
              <w:top w:val="nil"/>
              <w:left w:val="nil"/>
              <w:bottom w:val="single" w:sz="4" w:space="0" w:color="auto"/>
              <w:right w:val="single" w:sz="4" w:space="0" w:color="auto"/>
            </w:tcBorders>
            <w:shd w:val="clear" w:color="auto" w:fill="auto"/>
            <w:noWrap/>
            <w:vAlign w:val="center"/>
            <w:hideMark/>
          </w:tcPr>
          <w:p w14:paraId="0D1CAF7A"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c>
          <w:tcPr>
            <w:tcW w:w="631" w:type="pct"/>
            <w:tcBorders>
              <w:top w:val="nil"/>
              <w:left w:val="nil"/>
              <w:bottom w:val="single" w:sz="4" w:space="0" w:color="auto"/>
              <w:right w:val="single" w:sz="4" w:space="0" w:color="auto"/>
            </w:tcBorders>
            <w:shd w:val="clear" w:color="auto" w:fill="auto"/>
            <w:noWrap/>
            <w:vAlign w:val="center"/>
            <w:hideMark/>
          </w:tcPr>
          <w:p w14:paraId="20848BCD"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c>
          <w:tcPr>
            <w:tcW w:w="430" w:type="pct"/>
            <w:tcBorders>
              <w:top w:val="nil"/>
              <w:left w:val="nil"/>
              <w:bottom w:val="single" w:sz="4" w:space="0" w:color="auto"/>
              <w:right w:val="single" w:sz="4" w:space="0" w:color="auto"/>
            </w:tcBorders>
            <w:shd w:val="clear" w:color="000000" w:fill="BFBFBF"/>
            <w:noWrap/>
            <w:vAlign w:val="center"/>
            <w:hideMark/>
          </w:tcPr>
          <w:p w14:paraId="17F3FEF5"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-5.000</w:t>
            </w:r>
          </w:p>
        </w:tc>
        <w:tc>
          <w:tcPr>
            <w:tcW w:w="381" w:type="pct"/>
            <w:tcBorders>
              <w:top w:val="nil"/>
              <w:left w:val="nil"/>
              <w:bottom w:val="single" w:sz="4" w:space="0" w:color="auto"/>
              <w:right w:val="single" w:sz="4" w:space="0" w:color="auto"/>
            </w:tcBorders>
            <w:shd w:val="clear" w:color="auto" w:fill="auto"/>
            <w:noWrap/>
            <w:vAlign w:val="center"/>
            <w:hideMark/>
          </w:tcPr>
          <w:p w14:paraId="0688BB6C"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c>
          <w:tcPr>
            <w:tcW w:w="381" w:type="pct"/>
            <w:tcBorders>
              <w:top w:val="nil"/>
              <w:left w:val="nil"/>
              <w:bottom w:val="single" w:sz="4" w:space="0" w:color="auto"/>
              <w:right w:val="single" w:sz="4" w:space="0" w:color="auto"/>
            </w:tcBorders>
            <w:shd w:val="clear" w:color="auto" w:fill="auto"/>
            <w:noWrap/>
            <w:vAlign w:val="center"/>
            <w:hideMark/>
          </w:tcPr>
          <w:p w14:paraId="468ADD79"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c>
          <w:tcPr>
            <w:tcW w:w="387" w:type="pct"/>
            <w:tcBorders>
              <w:top w:val="nil"/>
              <w:left w:val="nil"/>
              <w:bottom w:val="single" w:sz="4" w:space="0" w:color="auto"/>
              <w:right w:val="single" w:sz="4" w:space="0" w:color="auto"/>
            </w:tcBorders>
            <w:shd w:val="clear" w:color="auto" w:fill="auto"/>
            <w:noWrap/>
            <w:vAlign w:val="center"/>
            <w:hideMark/>
          </w:tcPr>
          <w:p w14:paraId="585F507C"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c>
          <w:tcPr>
            <w:tcW w:w="558" w:type="pct"/>
            <w:tcBorders>
              <w:top w:val="nil"/>
              <w:left w:val="nil"/>
              <w:bottom w:val="single" w:sz="4" w:space="0" w:color="auto"/>
              <w:right w:val="single" w:sz="8" w:space="0" w:color="auto"/>
            </w:tcBorders>
            <w:shd w:val="clear" w:color="000000" w:fill="BFBFBF"/>
            <w:noWrap/>
            <w:vAlign w:val="center"/>
            <w:hideMark/>
          </w:tcPr>
          <w:p w14:paraId="5B9F839B"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-5.000</w:t>
            </w:r>
          </w:p>
        </w:tc>
      </w:tr>
      <w:tr w:rsidR="006C72FB" w14:paraId="22619626" w14:textId="77777777" w:rsidTr="00F37CD6">
        <w:trPr>
          <w:trHeight w:val="642"/>
        </w:trPr>
        <w:tc>
          <w:tcPr>
            <w:tcW w:w="1130" w:type="pct"/>
            <w:tcBorders>
              <w:top w:val="nil"/>
              <w:left w:val="single" w:sz="8" w:space="0" w:color="auto"/>
              <w:bottom w:val="single" w:sz="4" w:space="0" w:color="auto"/>
              <w:right w:val="single" w:sz="4" w:space="0" w:color="auto"/>
            </w:tcBorders>
            <w:shd w:val="clear" w:color="auto" w:fill="auto"/>
            <w:vAlign w:val="center"/>
            <w:hideMark/>
          </w:tcPr>
          <w:p w14:paraId="446DD337" w14:textId="77777777" w:rsidR="009D0118" w:rsidRPr="009D0118" w:rsidRDefault="00A854D0" w:rsidP="009D0118">
            <w:pPr>
              <w:autoSpaceDE/>
              <w:autoSpaceDN/>
              <w:adjustRightInd/>
              <w:spacing w:after="0"/>
              <w:jc w:val="left"/>
              <w:rPr>
                <w:rFonts w:eastAsia="Times New Roman" w:cs="Arial"/>
                <w:sz w:val="16"/>
                <w:szCs w:val="16"/>
                <w:lang w:eastAsia="en-GB"/>
              </w:rPr>
            </w:pPr>
            <w:r w:rsidRPr="009D0118">
              <w:rPr>
                <w:rFonts w:eastAsia="Times New Roman" w:cs="Arial"/>
                <w:sz w:val="16"/>
                <w:szCs w:val="16"/>
                <w:lang w:eastAsia="en-GB"/>
              </w:rPr>
              <w:t xml:space="preserve">Service Reserves </w:t>
            </w:r>
          </w:p>
        </w:tc>
        <w:tc>
          <w:tcPr>
            <w:tcW w:w="609" w:type="pct"/>
            <w:tcBorders>
              <w:top w:val="nil"/>
              <w:left w:val="nil"/>
              <w:bottom w:val="single" w:sz="4" w:space="0" w:color="auto"/>
              <w:right w:val="single" w:sz="4" w:space="0" w:color="auto"/>
            </w:tcBorders>
            <w:shd w:val="clear" w:color="auto" w:fill="auto"/>
            <w:noWrap/>
            <w:vAlign w:val="center"/>
            <w:hideMark/>
          </w:tcPr>
          <w:p w14:paraId="444CCACF"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-108.745</w:t>
            </w:r>
          </w:p>
        </w:tc>
        <w:tc>
          <w:tcPr>
            <w:tcW w:w="493" w:type="pct"/>
            <w:tcBorders>
              <w:top w:val="nil"/>
              <w:left w:val="nil"/>
              <w:bottom w:val="single" w:sz="4" w:space="0" w:color="auto"/>
              <w:right w:val="single" w:sz="4" w:space="0" w:color="auto"/>
            </w:tcBorders>
            <w:shd w:val="clear" w:color="auto" w:fill="auto"/>
            <w:noWrap/>
            <w:vAlign w:val="center"/>
            <w:hideMark/>
          </w:tcPr>
          <w:p w14:paraId="510D3B45"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41.119</w:t>
            </w:r>
          </w:p>
        </w:tc>
        <w:tc>
          <w:tcPr>
            <w:tcW w:w="631" w:type="pct"/>
            <w:tcBorders>
              <w:top w:val="nil"/>
              <w:left w:val="nil"/>
              <w:bottom w:val="single" w:sz="4" w:space="0" w:color="auto"/>
              <w:right w:val="single" w:sz="4" w:space="0" w:color="auto"/>
            </w:tcBorders>
            <w:shd w:val="clear" w:color="auto" w:fill="auto"/>
            <w:noWrap/>
            <w:vAlign w:val="center"/>
            <w:hideMark/>
          </w:tcPr>
          <w:p w14:paraId="03A79844"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c>
          <w:tcPr>
            <w:tcW w:w="430" w:type="pct"/>
            <w:tcBorders>
              <w:top w:val="nil"/>
              <w:left w:val="nil"/>
              <w:bottom w:val="single" w:sz="4" w:space="0" w:color="auto"/>
              <w:right w:val="single" w:sz="4" w:space="0" w:color="auto"/>
            </w:tcBorders>
            <w:shd w:val="clear" w:color="000000" w:fill="BFBFBF"/>
            <w:noWrap/>
            <w:vAlign w:val="center"/>
            <w:hideMark/>
          </w:tcPr>
          <w:p w14:paraId="4F892625"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-67.499</w:t>
            </w:r>
          </w:p>
        </w:tc>
        <w:tc>
          <w:tcPr>
            <w:tcW w:w="381" w:type="pct"/>
            <w:tcBorders>
              <w:top w:val="nil"/>
              <w:left w:val="nil"/>
              <w:bottom w:val="single" w:sz="4" w:space="0" w:color="auto"/>
              <w:right w:val="single" w:sz="4" w:space="0" w:color="auto"/>
            </w:tcBorders>
            <w:shd w:val="clear" w:color="auto" w:fill="auto"/>
            <w:noWrap/>
            <w:vAlign w:val="center"/>
            <w:hideMark/>
          </w:tcPr>
          <w:p w14:paraId="5B89312E"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13.918</w:t>
            </w:r>
          </w:p>
        </w:tc>
        <w:tc>
          <w:tcPr>
            <w:tcW w:w="381" w:type="pct"/>
            <w:tcBorders>
              <w:top w:val="nil"/>
              <w:left w:val="nil"/>
              <w:bottom w:val="single" w:sz="4" w:space="0" w:color="auto"/>
              <w:right w:val="single" w:sz="4" w:space="0" w:color="auto"/>
            </w:tcBorders>
            <w:shd w:val="clear" w:color="auto" w:fill="auto"/>
            <w:noWrap/>
            <w:vAlign w:val="center"/>
            <w:hideMark/>
          </w:tcPr>
          <w:p w14:paraId="3930A673"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13.210</w:t>
            </w:r>
          </w:p>
        </w:tc>
        <w:tc>
          <w:tcPr>
            <w:tcW w:w="387" w:type="pct"/>
            <w:tcBorders>
              <w:top w:val="nil"/>
              <w:left w:val="nil"/>
              <w:bottom w:val="single" w:sz="4" w:space="0" w:color="auto"/>
              <w:right w:val="single" w:sz="4" w:space="0" w:color="auto"/>
            </w:tcBorders>
            <w:shd w:val="clear" w:color="auto" w:fill="auto"/>
            <w:noWrap/>
            <w:vAlign w:val="center"/>
            <w:hideMark/>
          </w:tcPr>
          <w:p w14:paraId="1A6E6378"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0.970</w:t>
            </w:r>
          </w:p>
        </w:tc>
        <w:tc>
          <w:tcPr>
            <w:tcW w:w="558" w:type="pct"/>
            <w:tcBorders>
              <w:top w:val="nil"/>
              <w:left w:val="nil"/>
              <w:bottom w:val="single" w:sz="4" w:space="0" w:color="auto"/>
              <w:right w:val="single" w:sz="8" w:space="0" w:color="auto"/>
            </w:tcBorders>
            <w:shd w:val="clear" w:color="000000" w:fill="BFBFBF"/>
            <w:noWrap/>
            <w:vAlign w:val="center"/>
            <w:hideMark/>
          </w:tcPr>
          <w:p w14:paraId="17EAB655"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-39.401</w:t>
            </w:r>
          </w:p>
        </w:tc>
      </w:tr>
      <w:tr w:rsidR="006C72FB" w14:paraId="10AB37CD" w14:textId="77777777" w:rsidTr="00F37CD6">
        <w:trPr>
          <w:trHeight w:val="642"/>
        </w:trPr>
        <w:tc>
          <w:tcPr>
            <w:tcW w:w="1130" w:type="pct"/>
            <w:tcBorders>
              <w:top w:val="nil"/>
              <w:left w:val="single" w:sz="8" w:space="0" w:color="auto"/>
              <w:bottom w:val="nil"/>
              <w:right w:val="single" w:sz="4" w:space="0" w:color="auto"/>
            </w:tcBorders>
            <w:shd w:val="clear" w:color="auto" w:fill="auto"/>
            <w:vAlign w:val="center"/>
            <w:hideMark/>
          </w:tcPr>
          <w:p w14:paraId="14C9FD49" w14:textId="77777777" w:rsidR="009D0118" w:rsidRPr="009D0118" w:rsidRDefault="00A854D0" w:rsidP="009D0118">
            <w:pPr>
              <w:autoSpaceDE/>
              <w:autoSpaceDN/>
              <w:adjustRightInd/>
              <w:spacing w:after="0"/>
              <w:jc w:val="left"/>
              <w:rPr>
                <w:rFonts w:eastAsia="Times New Roman" w:cs="Arial"/>
                <w:sz w:val="16"/>
                <w:szCs w:val="16"/>
                <w:lang w:eastAsia="en-GB"/>
              </w:rPr>
            </w:pPr>
            <w:r w:rsidRPr="009D0118">
              <w:rPr>
                <w:rFonts w:eastAsia="Times New Roman" w:cs="Arial"/>
                <w:sz w:val="16"/>
                <w:szCs w:val="16"/>
                <w:lang w:eastAsia="en-GB"/>
              </w:rPr>
              <w:t>Treasury Management Valuation Reserve</w:t>
            </w:r>
          </w:p>
        </w:tc>
        <w:tc>
          <w:tcPr>
            <w:tcW w:w="609" w:type="pct"/>
            <w:tcBorders>
              <w:top w:val="nil"/>
              <w:left w:val="nil"/>
              <w:bottom w:val="nil"/>
              <w:right w:val="single" w:sz="4" w:space="0" w:color="auto"/>
            </w:tcBorders>
            <w:shd w:val="clear" w:color="auto" w:fill="auto"/>
            <w:noWrap/>
            <w:vAlign w:val="center"/>
            <w:hideMark/>
          </w:tcPr>
          <w:p w14:paraId="240685F4"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-36.317</w:t>
            </w:r>
          </w:p>
        </w:tc>
        <w:tc>
          <w:tcPr>
            <w:tcW w:w="493" w:type="pct"/>
            <w:tcBorders>
              <w:top w:val="nil"/>
              <w:left w:val="nil"/>
              <w:bottom w:val="nil"/>
              <w:right w:val="single" w:sz="4" w:space="0" w:color="auto"/>
            </w:tcBorders>
            <w:shd w:val="clear" w:color="auto" w:fill="auto"/>
            <w:noWrap/>
            <w:vAlign w:val="center"/>
            <w:hideMark/>
          </w:tcPr>
          <w:p w14:paraId="294DB078"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c>
          <w:tcPr>
            <w:tcW w:w="631" w:type="pct"/>
            <w:tcBorders>
              <w:top w:val="nil"/>
              <w:left w:val="nil"/>
              <w:bottom w:val="nil"/>
              <w:right w:val="single" w:sz="4" w:space="0" w:color="auto"/>
            </w:tcBorders>
            <w:shd w:val="clear" w:color="auto" w:fill="auto"/>
            <w:noWrap/>
            <w:vAlign w:val="center"/>
            <w:hideMark/>
          </w:tcPr>
          <w:p w14:paraId="2477A25E"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c>
          <w:tcPr>
            <w:tcW w:w="430" w:type="pct"/>
            <w:tcBorders>
              <w:top w:val="nil"/>
              <w:left w:val="nil"/>
              <w:bottom w:val="single" w:sz="4" w:space="0" w:color="auto"/>
              <w:right w:val="single" w:sz="4" w:space="0" w:color="auto"/>
            </w:tcBorders>
            <w:shd w:val="clear" w:color="000000" w:fill="BFBFBF"/>
            <w:noWrap/>
            <w:vAlign w:val="center"/>
            <w:hideMark/>
          </w:tcPr>
          <w:p w14:paraId="1C9CC186"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-36.317</w:t>
            </w:r>
          </w:p>
        </w:tc>
        <w:tc>
          <w:tcPr>
            <w:tcW w:w="381" w:type="pct"/>
            <w:tcBorders>
              <w:top w:val="nil"/>
              <w:left w:val="nil"/>
              <w:bottom w:val="nil"/>
              <w:right w:val="single" w:sz="4" w:space="0" w:color="auto"/>
            </w:tcBorders>
            <w:shd w:val="clear" w:color="auto" w:fill="auto"/>
            <w:noWrap/>
            <w:vAlign w:val="center"/>
            <w:hideMark/>
          </w:tcPr>
          <w:p w14:paraId="44B8EF32"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c>
          <w:tcPr>
            <w:tcW w:w="381" w:type="pct"/>
            <w:tcBorders>
              <w:top w:val="nil"/>
              <w:left w:val="nil"/>
              <w:bottom w:val="nil"/>
              <w:right w:val="single" w:sz="4" w:space="0" w:color="auto"/>
            </w:tcBorders>
            <w:shd w:val="clear" w:color="auto" w:fill="auto"/>
            <w:noWrap/>
            <w:vAlign w:val="center"/>
            <w:hideMark/>
          </w:tcPr>
          <w:p w14:paraId="05BD2FE1"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c>
          <w:tcPr>
            <w:tcW w:w="387" w:type="pct"/>
            <w:tcBorders>
              <w:top w:val="nil"/>
              <w:left w:val="nil"/>
              <w:bottom w:val="single" w:sz="4" w:space="0" w:color="auto"/>
              <w:right w:val="single" w:sz="4" w:space="0" w:color="auto"/>
            </w:tcBorders>
            <w:shd w:val="clear" w:color="auto" w:fill="auto"/>
            <w:noWrap/>
            <w:vAlign w:val="center"/>
            <w:hideMark/>
          </w:tcPr>
          <w:p w14:paraId="45E26EA1"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c>
          <w:tcPr>
            <w:tcW w:w="558" w:type="pct"/>
            <w:tcBorders>
              <w:top w:val="nil"/>
              <w:left w:val="nil"/>
              <w:bottom w:val="single" w:sz="4" w:space="0" w:color="auto"/>
              <w:right w:val="single" w:sz="8" w:space="0" w:color="auto"/>
            </w:tcBorders>
            <w:shd w:val="clear" w:color="000000" w:fill="BFBFBF"/>
            <w:noWrap/>
            <w:vAlign w:val="center"/>
            <w:hideMark/>
          </w:tcPr>
          <w:p w14:paraId="1ABAF08E"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-36.317</w:t>
            </w:r>
          </w:p>
        </w:tc>
      </w:tr>
      <w:tr w:rsidR="006C72FB" w14:paraId="39BC79F4" w14:textId="77777777" w:rsidTr="00F37CD6">
        <w:trPr>
          <w:trHeight w:val="642"/>
        </w:trPr>
        <w:tc>
          <w:tcPr>
            <w:tcW w:w="1130" w:type="pct"/>
            <w:tcBorders>
              <w:top w:val="single" w:sz="4" w:space="0" w:color="auto"/>
              <w:left w:val="single" w:sz="8" w:space="0" w:color="auto"/>
              <w:bottom w:val="nil"/>
              <w:right w:val="single" w:sz="4" w:space="0" w:color="auto"/>
            </w:tcBorders>
            <w:shd w:val="clear" w:color="auto" w:fill="auto"/>
            <w:vAlign w:val="center"/>
            <w:hideMark/>
          </w:tcPr>
          <w:p w14:paraId="13888081" w14:textId="77777777" w:rsidR="009D0118" w:rsidRPr="009D0118" w:rsidRDefault="00A854D0" w:rsidP="009D0118">
            <w:pPr>
              <w:autoSpaceDE/>
              <w:autoSpaceDN/>
              <w:adjustRightInd/>
              <w:spacing w:after="0"/>
              <w:jc w:val="left"/>
              <w:rPr>
                <w:rFonts w:eastAsia="Times New Roman" w:cs="Arial"/>
                <w:sz w:val="16"/>
                <w:szCs w:val="16"/>
                <w:lang w:eastAsia="en-GB"/>
              </w:rPr>
            </w:pPr>
            <w:r w:rsidRPr="009D0118">
              <w:rPr>
                <w:rFonts w:eastAsia="Times New Roman" w:cs="Arial"/>
                <w:sz w:val="16"/>
                <w:szCs w:val="16"/>
                <w:lang w:eastAsia="en-GB"/>
              </w:rPr>
              <w:t>Treasury Management Reserve</w:t>
            </w:r>
          </w:p>
        </w:tc>
        <w:tc>
          <w:tcPr>
            <w:tcW w:w="609" w:type="pct"/>
            <w:tcBorders>
              <w:top w:val="single" w:sz="4" w:space="0" w:color="auto"/>
              <w:left w:val="nil"/>
              <w:bottom w:val="nil"/>
              <w:right w:val="single" w:sz="4" w:space="0" w:color="auto"/>
            </w:tcBorders>
            <w:shd w:val="clear" w:color="auto" w:fill="auto"/>
            <w:noWrap/>
            <w:vAlign w:val="center"/>
            <w:hideMark/>
          </w:tcPr>
          <w:p w14:paraId="76B67DD9"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c>
          <w:tcPr>
            <w:tcW w:w="493" w:type="pct"/>
            <w:tcBorders>
              <w:top w:val="single" w:sz="4" w:space="0" w:color="auto"/>
              <w:left w:val="nil"/>
              <w:bottom w:val="nil"/>
              <w:right w:val="single" w:sz="4" w:space="0" w:color="auto"/>
            </w:tcBorders>
            <w:shd w:val="clear" w:color="auto" w:fill="auto"/>
            <w:noWrap/>
            <w:vAlign w:val="center"/>
            <w:hideMark/>
          </w:tcPr>
          <w:p w14:paraId="5206D562"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c>
          <w:tcPr>
            <w:tcW w:w="631" w:type="pct"/>
            <w:tcBorders>
              <w:top w:val="single" w:sz="4" w:space="0" w:color="auto"/>
              <w:left w:val="nil"/>
              <w:bottom w:val="nil"/>
              <w:right w:val="single" w:sz="4" w:space="0" w:color="auto"/>
            </w:tcBorders>
            <w:shd w:val="clear" w:color="auto" w:fill="auto"/>
            <w:noWrap/>
            <w:vAlign w:val="center"/>
            <w:hideMark/>
          </w:tcPr>
          <w:p w14:paraId="6B34EBA3"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c>
          <w:tcPr>
            <w:tcW w:w="430" w:type="pct"/>
            <w:tcBorders>
              <w:top w:val="nil"/>
              <w:left w:val="nil"/>
              <w:bottom w:val="single" w:sz="4" w:space="0" w:color="auto"/>
              <w:right w:val="single" w:sz="4" w:space="0" w:color="auto"/>
            </w:tcBorders>
            <w:shd w:val="clear" w:color="000000" w:fill="BFBFBF"/>
            <w:noWrap/>
            <w:vAlign w:val="center"/>
            <w:hideMark/>
          </w:tcPr>
          <w:p w14:paraId="6840C0A7"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c>
          <w:tcPr>
            <w:tcW w:w="381" w:type="pct"/>
            <w:tcBorders>
              <w:top w:val="single" w:sz="4" w:space="0" w:color="auto"/>
              <w:left w:val="nil"/>
              <w:bottom w:val="nil"/>
              <w:right w:val="single" w:sz="4" w:space="0" w:color="auto"/>
            </w:tcBorders>
            <w:shd w:val="clear" w:color="auto" w:fill="auto"/>
            <w:noWrap/>
            <w:vAlign w:val="center"/>
            <w:hideMark/>
          </w:tcPr>
          <w:p w14:paraId="172BAB00"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c>
          <w:tcPr>
            <w:tcW w:w="381" w:type="pct"/>
            <w:tcBorders>
              <w:top w:val="single" w:sz="4" w:space="0" w:color="auto"/>
              <w:left w:val="nil"/>
              <w:bottom w:val="nil"/>
              <w:right w:val="single" w:sz="4" w:space="0" w:color="auto"/>
            </w:tcBorders>
            <w:shd w:val="clear" w:color="auto" w:fill="auto"/>
            <w:noWrap/>
            <w:vAlign w:val="center"/>
            <w:hideMark/>
          </w:tcPr>
          <w:p w14:paraId="014BDACC"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c>
          <w:tcPr>
            <w:tcW w:w="387" w:type="pct"/>
            <w:tcBorders>
              <w:top w:val="nil"/>
              <w:left w:val="nil"/>
              <w:bottom w:val="single" w:sz="4" w:space="0" w:color="auto"/>
              <w:right w:val="single" w:sz="4" w:space="0" w:color="auto"/>
            </w:tcBorders>
            <w:shd w:val="clear" w:color="auto" w:fill="auto"/>
            <w:noWrap/>
            <w:vAlign w:val="center"/>
            <w:hideMark/>
          </w:tcPr>
          <w:p w14:paraId="561575A3"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c>
          <w:tcPr>
            <w:tcW w:w="558" w:type="pct"/>
            <w:tcBorders>
              <w:top w:val="nil"/>
              <w:left w:val="nil"/>
              <w:bottom w:val="single" w:sz="4" w:space="0" w:color="auto"/>
              <w:right w:val="single" w:sz="8" w:space="0" w:color="auto"/>
            </w:tcBorders>
            <w:shd w:val="clear" w:color="000000" w:fill="BFBFBF"/>
            <w:noWrap/>
            <w:vAlign w:val="center"/>
            <w:hideMark/>
          </w:tcPr>
          <w:p w14:paraId="104ECA88"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r>
      <w:tr w:rsidR="006C72FB" w14:paraId="7D0D1A17" w14:textId="77777777" w:rsidTr="00F37CD6">
        <w:trPr>
          <w:trHeight w:val="642"/>
        </w:trPr>
        <w:tc>
          <w:tcPr>
            <w:tcW w:w="1130" w:type="pct"/>
            <w:tcBorders>
              <w:top w:val="single" w:sz="4" w:space="0" w:color="auto"/>
              <w:left w:val="single" w:sz="8" w:space="0" w:color="auto"/>
              <w:bottom w:val="single" w:sz="8" w:space="0" w:color="auto"/>
              <w:right w:val="single" w:sz="4" w:space="0" w:color="auto"/>
            </w:tcBorders>
            <w:shd w:val="clear" w:color="000000" w:fill="BFBFBF"/>
            <w:vAlign w:val="center"/>
            <w:hideMark/>
          </w:tcPr>
          <w:p w14:paraId="0E9F6879" w14:textId="77777777" w:rsidR="009D0118" w:rsidRPr="009D0118" w:rsidRDefault="00A854D0" w:rsidP="009D0118">
            <w:pPr>
              <w:autoSpaceDE/>
              <w:autoSpaceDN/>
              <w:adjustRightInd/>
              <w:spacing w:after="0"/>
              <w:jc w:val="left"/>
              <w:rPr>
                <w:rFonts w:eastAsia="Times New Roman" w:cs="Arial"/>
                <w:b/>
                <w:bCs/>
                <w:sz w:val="16"/>
                <w:szCs w:val="16"/>
                <w:lang w:eastAsia="en-GB"/>
              </w:rPr>
            </w:pPr>
            <w:r w:rsidRPr="009D0118">
              <w:rPr>
                <w:rFonts w:eastAsia="Times New Roman" w:cs="Arial"/>
                <w:b/>
                <w:bCs/>
                <w:sz w:val="16"/>
                <w:szCs w:val="16"/>
                <w:lang w:eastAsia="en-GB"/>
              </w:rPr>
              <w:t>SUB TOTAL - LCC RESERVES</w:t>
            </w:r>
          </w:p>
        </w:tc>
        <w:tc>
          <w:tcPr>
            <w:tcW w:w="609" w:type="pct"/>
            <w:tcBorders>
              <w:top w:val="single" w:sz="4" w:space="0" w:color="auto"/>
              <w:left w:val="nil"/>
              <w:bottom w:val="single" w:sz="8" w:space="0" w:color="auto"/>
              <w:right w:val="single" w:sz="4" w:space="0" w:color="auto"/>
            </w:tcBorders>
            <w:shd w:val="clear" w:color="000000" w:fill="BFBFBF"/>
            <w:noWrap/>
            <w:vAlign w:val="center"/>
            <w:hideMark/>
          </w:tcPr>
          <w:p w14:paraId="1477B3D7"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-390.809</w:t>
            </w:r>
          </w:p>
        </w:tc>
        <w:tc>
          <w:tcPr>
            <w:tcW w:w="493" w:type="pct"/>
            <w:tcBorders>
              <w:top w:val="single" w:sz="4" w:space="0" w:color="auto"/>
              <w:left w:val="nil"/>
              <w:bottom w:val="single" w:sz="8" w:space="0" w:color="auto"/>
              <w:right w:val="single" w:sz="4" w:space="0" w:color="auto"/>
            </w:tcBorders>
            <w:shd w:val="clear" w:color="000000" w:fill="BFBFBF"/>
            <w:noWrap/>
            <w:vAlign w:val="center"/>
            <w:hideMark/>
          </w:tcPr>
          <w:p w14:paraId="4F3AF654"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77.635</w:t>
            </w:r>
          </w:p>
        </w:tc>
        <w:tc>
          <w:tcPr>
            <w:tcW w:w="631" w:type="pct"/>
            <w:tcBorders>
              <w:top w:val="single" w:sz="4" w:space="0" w:color="auto"/>
              <w:left w:val="nil"/>
              <w:bottom w:val="single" w:sz="8" w:space="0" w:color="auto"/>
              <w:right w:val="single" w:sz="4" w:space="0" w:color="auto"/>
            </w:tcBorders>
            <w:shd w:val="clear" w:color="000000" w:fill="BFBFBF"/>
            <w:noWrap/>
            <w:vAlign w:val="center"/>
            <w:hideMark/>
          </w:tcPr>
          <w:p w14:paraId="2408C956"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0.000</w:t>
            </w:r>
          </w:p>
        </w:tc>
        <w:tc>
          <w:tcPr>
            <w:tcW w:w="430" w:type="pct"/>
            <w:tcBorders>
              <w:top w:val="nil"/>
              <w:left w:val="nil"/>
              <w:bottom w:val="single" w:sz="8" w:space="0" w:color="auto"/>
              <w:right w:val="single" w:sz="4" w:space="0" w:color="auto"/>
            </w:tcBorders>
            <w:shd w:val="clear" w:color="000000" w:fill="BFBFBF"/>
            <w:noWrap/>
            <w:vAlign w:val="center"/>
            <w:hideMark/>
          </w:tcPr>
          <w:p w14:paraId="0020B366"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-313.047</w:t>
            </w:r>
          </w:p>
        </w:tc>
        <w:tc>
          <w:tcPr>
            <w:tcW w:w="381" w:type="pct"/>
            <w:tcBorders>
              <w:top w:val="single" w:sz="4" w:space="0" w:color="auto"/>
              <w:left w:val="nil"/>
              <w:bottom w:val="single" w:sz="8" w:space="0" w:color="auto"/>
              <w:right w:val="single" w:sz="4" w:space="0" w:color="auto"/>
            </w:tcBorders>
            <w:shd w:val="clear" w:color="000000" w:fill="BFBFBF"/>
            <w:noWrap/>
            <w:vAlign w:val="center"/>
            <w:hideMark/>
          </w:tcPr>
          <w:p w14:paraId="018F0AA7"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22.509</w:t>
            </w:r>
          </w:p>
        </w:tc>
        <w:tc>
          <w:tcPr>
            <w:tcW w:w="381" w:type="pct"/>
            <w:tcBorders>
              <w:top w:val="single" w:sz="4" w:space="0" w:color="auto"/>
              <w:left w:val="nil"/>
              <w:bottom w:val="single" w:sz="8" w:space="0" w:color="auto"/>
              <w:right w:val="single" w:sz="4" w:space="0" w:color="auto"/>
            </w:tcBorders>
            <w:shd w:val="clear" w:color="000000" w:fill="BFBFBF"/>
            <w:noWrap/>
            <w:vAlign w:val="center"/>
            <w:hideMark/>
          </w:tcPr>
          <w:p w14:paraId="67985DCB"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18.015</w:t>
            </w:r>
          </w:p>
        </w:tc>
        <w:tc>
          <w:tcPr>
            <w:tcW w:w="387" w:type="pct"/>
            <w:tcBorders>
              <w:top w:val="nil"/>
              <w:left w:val="nil"/>
              <w:bottom w:val="single" w:sz="8" w:space="0" w:color="auto"/>
              <w:right w:val="single" w:sz="4" w:space="0" w:color="auto"/>
            </w:tcBorders>
            <w:shd w:val="clear" w:color="000000" w:fill="BFBFBF"/>
            <w:noWrap/>
            <w:vAlign w:val="center"/>
            <w:hideMark/>
          </w:tcPr>
          <w:p w14:paraId="5B5314A4"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1.008</w:t>
            </w:r>
          </w:p>
        </w:tc>
        <w:tc>
          <w:tcPr>
            <w:tcW w:w="558" w:type="pct"/>
            <w:tcBorders>
              <w:top w:val="nil"/>
              <w:left w:val="nil"/>
              <w:bottom w:val="single" w:sz="8" w:space="0" w:color="auto"/>
              <w:right w:val="single" w:sz="8" w:space="0" w:color="auto"/>
            </w:tcBorders>
            <w:shd w:val="clear" w:color="000000" w:fill="BFBFBF"/>
            <w:noWrap/>
            <w:vAlign w:val="center"/>
            <w:hideMark/>
          </w:tcPr>
          <w:p w14:paraId="1D4BB936"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-271.515</w:t>
            </w:r>
          </w:p>
        </w:tc>
      </w:tr>
      <w:tr w:rsidR="006C72FB" w14:paraId="2F345ED4" w14:textId="77777777" w:rsidTr="00F37CD6">
        <w:trPr>
          <w:trHeight w:val="642"/>
        </w:trPr>
        <w:tc>
          <w:tcPr>
            <w:tcW w:w="1130" w:type="pct"/>
            <w:tcBorders>
              <w:top w:val="nil"/>
              <w:left w:val="single" w:sz="8" w:space="0" w:color="auto"/>
              <w:bottom w:val="single" w:sz="4" w:space="0" w:color="auto"/>
              <w:right w:val="single" w:sz="4" w:space="0" w:color="auto"/>
            </w:tcBorders>
            <w:shd w:val="clear" w:color="auto" w:fill="auto"/>
            <w:vAlign w:val="center"/>
            <w:hideMark/>
          </w:tcPr>
          <w:p w14:paraId="7AAEDD83" w14:textId="77777777" w:rsidR="009D0118" w:rsidRPr="009D0118" w:rsidRDefault="00A854D0" w:rsidP="009D0118">
            <w:pPr>
              <w:autoSpaceDE/>
              <w:autoSpaceDN/>
              <w:adjustRightInd/>
              <w:spacing w:after="0"/>
              <w:jc w:val="left"/>
              <w:rPr>
                <w:rFonts w:eastAsia="Times New Roman" w:cs="Arial"/>
                <w:sz w:val="16"/>
                <w:szCs w:val="16"/>
                <w:lang w:eastAsia="en-GB"/>
              </w:rPr>
            </w:pPr>
            <w:r w:rsidRPr="009D0118">
              <w:rPr>
                <w:rFonts w:eastAsia="Times New Roman" w:cs="Arial"/>
                <w:sz w:val="16"/>
                <w:szCs w:val="16"/>
                <w:lang w:eastAsia="en-GB"/>
              </w:rPr>
              <w:t>Non-LCC Service Reserves</w:t>
            </w:r>
          </w:p>
        </w:tc>
        <w:tc>
          <w:tcPr>
            <w:tcW w:w="609" w:type="pct"/>
            <w:tcBorders>
              <w:top w:val="nil"/>
              <w:left w:val="nil"/>
              <w:bottom w:val="nil"/>
              <w:right w:val="single" w:sz="4" w:space="0" w:color="auto"/>
            </w:tcBorders>
            <w:shd w:val="clear" w:color="auto" w:fill="auto"/>
            <w:noWrap/>
            <w:vAlign w:val="center"/>
            <w:hideMark/>
          </w:tcPr>
          <w:p w14:paraId="2174DFDB"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-17.065</w:t>
            </w:r>
          </w:p>
        </w:tc>
        <w:tc>
          <w:tcPr>
            <w:tcW w:w="493" w:type="pct"/>
            <w:tcBorders>
              <w:top w:val="nil"/>
              <w:left w:val="nil"/>
              <w:bottom w:val="nil"/>
              <w:right w:val="single" w:sz="4" w:space="0" w:color="auto"/>
            </w:tcBorders>
            <w:shd w:val="clear" w:color="auto" w:fill="auto"/>
            <w:noWrap/>
            <w:vAlign w:val="center"/>
            <w:hideMark/>
          </w:tcPr>
          <w:p w14:paraId="1BBC9261"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0.377</w:t>
            </w:r>
          </w:p>
        </w:tc>
        <w:tc>
          <w:tcPr>
            <w:tcW w:w="631" w:type="pct"/>
            <w:tcBorders>
              <w:top w:val="nil"/>
              <w:left w:val="nil"/>
              <w:bottom w:val="nil"/>
              <w:right w:val="single" w:sz="4" w:space="0" w:color="auto"/>
            </w:tcBorders>
            <w:shd w:val="clear" w:color="auto" w:fill="auto"/>
            <w:noWrap/>
            <w:vAlign w:val="center"/>
            <w:hideMark/>
          </w:tcPr>
          <w:p w14:paraId="2C484119"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c>
          <w:tcPr>
            <w:tcW w:w="430" w:type="pct"/>
            <w:tcBorders>
              <w:top w:val="nil"/>
              <w:left w:val="nil"/>
              <w:bottom w:val="single" w:sz="4" w:space="0" w:color="auto"/>
              <w:right w:val="single" w:sz="4" w:space="0" w:color="auto"/>
            </w:tcBorders>
            <w:shd w:val="clear" w:color="000000" w:fill="BFBFBF"/>
            <w:noWrap/>
            <w:vAlign w:val="center"/>
            <w:hideMark/>
          </w:tcPr>
          <w:p w14:paraId="6AF615D9"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-16.688</w:t>
            </w:r>
          </w:p>
        </w:tc>
        <w:tc>
          <w:tcPr>
            <w:tcW w:w="381" w:type="pct"/>
            <w:tcBorders>
              <w:top w:val="nil"/>
              <w:left w:val="nil"/>
              <w:bottom w:val="nil"/>
              <w:right w:val="single" w:sz="4" w:space="0" w:color="auto"/>
            </w:tcBorders>
            <w:shd w:val="clear" w:color="auto" w:fill="auto"/>
            <w:noWrap/>
            <w:vAlign w:val="center"/>
            <w:hideMark/>
          </w:tcPr>
          <w:p w14:paraId="7DB127C1"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3.344</w:t>
            </w:r>
          </w:p>
        </w:tc>
        <w:tc>
          <w:tcPr>
            <w:tcW w:w="381" w:type="pct"/>
            <w:tcBorders>
              <w:top w:val="nil"/>
              <w:left w:val="nil"/>
              <w:bottom w:val="nil"/>
              <w:right w:val="single" w:sz="4" w:space="0" w:color="auto"/>
            </w:tcBorders>
            <w:shd w:val="clear" w:color="auto" w:fill="auto"/>
            <w:noWrap/>
            <w:vAlign w:val="center"/>
            <w:hideMark/>
          </w:tcPr>
          <w:p w14:paraId="104F161F"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0.456</w:t>
            </w:r>
          </w:p>
        </w:tc>
        <w:tc>
          <w:tcPr>
            <w:tcW w:w="387" w:type="pct"/>
            <w:tcBorders>
              <w:top w:val="nil"/>
              <w:left w:val="nil"/>
              <w:bottom w:val="single" w:sz="4" w:space="0" w:color="auto"/>
              <w:right w:val="single" w:sz="4" w:space="0" w:color="auto"/>
            </w:tcBorders>
            <w:shd w:val="clear" w:color="auto" w:fill="auto"/>
            <w:noWrap/>
            <w:vAlign w:val="center"/>
            <w:hideMark/>
          </w:tcPr>
          <w:p w14:paraId="4510523E"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0.000</w:t>
            </w:r>
          </w:p>
        </w:tc>
        <w:tc>
          <w:tcPr>
            <w:tcW w:w="558" w:type="pct"/>
            <w:tcBorders>
              <w:top w:val="nil"/>
              <w:left w:val="nil"/>
              <w:bottom w:val="single" w:sz="4" w:space="0" w:color="auto"/>
              <w:right w:val="single" w:sz="8" w:space="0" w:color="auto"/>
            </w:tcBorders>
            <w:shd w:val="clear" w:color="000000" w:fill="BFBFBF"/>
            <w:noWrap/>
            <w:vAlign w:val="center"/>
            <w:hideMark/>
          </w:tcPr>
          <w:p w14:paraId="1E2FEA18"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-12.888</w:t>
            </w:r>
          </w:p>
        </w:tc>
      </w:tr>
      <w:tr w:rsidR="006C72FB" w14:paraId="7FB18303" w14:textId="77777777" w:rsidTr="00F37CD6">
        <w:trPr>
          <w:trHeight w:val="432"/>
        </w:trPr>
        <w:tc>
          <w:tcPr>
            <w:tcW w:w="1130" w:type="pct"/>
            <w:tcBorders>
              <w:top w:val="nil"/>
              <w:left w:val="single" w:sz="8" w:space="0" w:color="auto"/>
              <w:bottom w:val="single" w:sz="8" w:space="0" w:color="auto"/>
              <w:right w:val="single" w:sz="4" w:space="0" w:color="auto"/>
            </w:tcBorders>
            <w:shd w:val="clear" w:color="000000" w:fill="BFBFBF"/>
            <w:vAlign w:val="center"/>
            <w:hideMark/>
          </w:tcPr>
          <w:p w14:paraId="0726C921" w14:textId="77777777" w:rsidR="009D0118" w:rsidRPr="009D0118" w:rsidRDefault="00A854D0" w:rsidP="009D0118">
            <w:pPr>
              <w:autoSpaceDE/>
              <w:autoSpaceDN/>
              <w:adjustRightInd/>
              <w:spacing w:after="0"/>
              <w:jc w:val="left"/>
              <w:rPr>
                <w:rFonts w:eastAsia="Times New Roman" w:cs="Arial"/>
                <w:b/>
                <w:bCs/>
                <w:sz w:val="16"/>
                <w:szCs w:val="16"/>
                <w:lang w:eastAsia="en-GB"/>
              </w:rPr>
            </w:pPr>
            <w:r w:rsidRPr="009D0118">
              <w:rPr>
                <w:rFonts w:eastAsia="Times New Roman" w:cs="Arial"/>
                <w:b/>
                <w:bCs/>
                <w:sz w:val="16"/>
                <w:szCs w:val="16"/>
                <w:lang w:eastAsia="en-GB"/>
              </w:rPr>
              <w:t>SUB TOTAL - NON LCC RESERVES</w:t>
            </w:r>
          </w:p>
        </w:tc>
        <w:tc>
          <w:tcPr>
            <w:tcW w:w="609" w:type="pct"/>
            <w:tcBorders>
              <w:top w:val="single" w:sz="4" w:space="0" w:color="auto"/>
              <w:left w:val="nil"/>
              <w:bottom w:val="single" w:sz="8" w:space="0" w:color="auto"/>
              <w:right w:val="single" w:sz="4" w:space="0" w:color="auto"/>
            </w:tcBorders>
            <w:shd w:val="clear" w:color="000000" w:fill="BFBFBF"/>
            <w:noWrap/>
            <w:vAlign w:val="center"/>
            <w:hideMark/>
          </w:tcPr>
          <w:p w14:paraId="75FEAFDB"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-17.065</w:t>
            </w:r>
          </w:p>
        </w:tc>
        <w:tc>
          <w:tcPr>
            <w:tcW w:w="493" w:type="pct"/>
            <w:tcBorders>
              <w:top w:val="single" w:sz="4" w:space="0" w:color="auto"/>
              <w:left w:val="nil"/>
              <w:bottom w:val="single" w:sz="8" w:space="0" w:color="auto"/>
              <w:right w:val="single" w:sz="4" w:space="0" w:color="auto"/>
            </w:tcBorders>
            <w:shd w:val="clear" w:color="000000" w:fill="BFBFBF"/>
            <w:noWrap/>
            <w:vAlign w:val="center"/>
            <w:hideMark/>
          </w:tcPr>
          <w:p w14:paraId="46AD5F97"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0.377</w:t>
            </w:r>
          </w:p>
        </w:tc>
        <w:tc>
          <w:tcPr>
            <w:tcW w:w="631" w:type="pct"/>
            <w:tcBorders>
              <w:top w:val="single" w:sz="4" w:space="0" w:color="auto"/>
              <w:left w:val="nil"/>
              <w:bottom w:val="single" w:sz="8" w:space="0" w:color="auto"/>
              <w:right w:val="single" w:sz="4" w:space="0" w:color="auto"/>
            </w:tcBorders>
            <w:shd w:val="clear" w:color="000000" w:fill="BFBFBF"/>
            <w:noWrap/>
            <w:vAlign w:val="center"/>
            <w:hideMark/>
          </w:tcPr>
          <w:p w14:paraId="04390797"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0.000</w:t>
            </w:r>
          </w:p>
        </w:tc>
        <w:tc>
          <w:tcPr>
            <w:tcW w:w="430" w:type="pct"/>
            <w:tcBorders>
              <w:top w:val="nil"/>
              <w:left w:val="nil"/>
              <w:bottom w:val="single" w:sz="8" w:space="0" w:color="auto"/>
              <w:right w:val="single" w:sz="4" w:space="0" w:color="auto"/>
            </w:tcBorders>
            <w:shd w:val="clear" w:color="000000" w:fill="BFBFBF"/>
            <w:noWrap/>
            <w:vAlign w:val="center"/>
            <w:hideMark/>
          </w:tcPr>
          <w:p w14:paraId="1AE4D644"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-16.688</w:t>
            </w:r>
          </w:p>
        </w:tc>
        <w:tc>
          <w:tcPr>
            <w:tcW w:w="381" w:type="pct"/>
            <w:tcBorders>
              <w:top w:val="single" w:sz="4" w:space="0" w:color="auto"/>
              <w:left w:val="nil"/>
              <w:bottom w:val="single" w:sz="8" w:space="0" w:color="auto"/>
              <w:right w:val="single" w:sz="4" w:space="0" w:color="auto"/>
            </w:tcBorders>
            <w:shd w:val="clear" w:color="000000" w:fill="BFBFBF"/>
            <w:noWrap/>
            <w:vAlign w:val="center"/>
            <w:hideMark/>
          </w:tcPr>
          <w:p w14:paraId="57FCC133"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3.344</w:t>
            </w:r>
          </w:p>
        </w:tc>
        <w:tc>
          <w:tcPr>
            <w:tcW w:w="381" w:type="pct"/>
            <w:tcBorders>
              <w:top w:val="single" w:sz="4" w:space="0" w:color="auto"/>
              <w:left w:val="nil"/>
              <w:bottom w:val="single" w:sz="8" w:space="0" w:color="auto"/>
              <w:right w:val="single" w:sz="4" w:space="0" w:color="auto"/>
            </w:tcBorders>
            <w:shd w:val="clear" w:color="000000" w:fill="BFBFBF"/>
            <w:noWrap/>
            <w:vAlign w:val="center"/>
            <w:hideMark/>
          </w:tcPr>
          <w:p w14:paraId="168C9AD8"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0.456</w:t>
            </w:r>
          </w:p>
        </w:tc>
        <w:tc>
          <w:tcPr>
            <w:tcW w:w="387" w:type="pct"/>
            <w:tcBorders>
              <w:top w:val="nil"/>
              <w:left w:val="nil"/>
              <w:bottom w:val="single" w:sz="8" w:space="0" w:color="auto"/>
              <w:right w:val="single" w:sz="4" w:space="0" w:color="auto"/>
            </w:tcBorders>
            <w:shd w:val="clear" w:color="000000" w:fill="BFBFBF"/>
            <w:noWrap/>
            <w:vAlign w:val="center"/>
            <w:hideMark/>
          </w:tcPr>
          <w:p w14:paraId="2B1D17BA"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0.000</w:t>
            </w:r>
          </w:p>
        </w:tc>
        <w:tc>
          <w:tcPr>
            <w:tcW w:w="558" w:type="pct"/>
            <w:tcBorders>
              <w:top w:val="nil"/>
              <w:left w:val="nil"/>
              <w:bottom w:val="single" w:sz="8" w:space="0" w:color="auto"/>
              <w:right w:val="single" w:sz="8" w:space="0" w:color="auto"/>
            </w:tcBorders>
            <w:shd w:val="clear" w:color="000000" w:fill="BFBFBF"/>
            <w:noWrap/>
            <w:vAlign w:val="center"/>
            <w:hideMark/>
          </w:tcPr>
          <w:p w14:paraId="16240A72"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-12.888</w:t>
            </w:r>
          </w:p>
        </w:tc>
      </w:tr>
      <w:tr w:rsidR="006C72FB" w14:paraId="604A52D7" w14:textId="77777777" w:rsidTr="00F37CD6">
        <w:trPr>
          <w:trHeight w:val="300"/>
        </w:trPr>
        <w:tc>
          <w:tcPr>
            <w:tcW w:w="1130" w:type="pct"/>
            <w:tcBorders>
              <w:top w:val="single" w:sz="4" w:space="0" w:color="auto"/>
              <w:left w:val="single" w:sz="8" w:space="0" w:color="auto"/>
              <w:bottom w:val="nil"/>
              <w:right w:val="single" w:sz="4" w:space="0" w:color="auto"/>
            </w:tcBorders>
            <w:shd w:val="clear" w:color="auto" w:fill="auto"/>
            <w:vAlign w:val="center"/>
            <w:hideMark/>
          </w:tcPr>
          <w:p w14:paraId="57FC14DB" w14:textId="77777777" w:rsidR="009D0118" w:rsidRPr="009D0118" w:rsidRDefault="00A854D0" w:rsidP="009D0118">
            <w:pPr>
              <w:autoSpaceDE/>
              <w:autoSpaceDN/>
              <w:adjustRightInd/>
              <w:spacing w:after="0"/>
              <w:jc w:val="left"/>
              <w:rPr>
                <w:rFonts w:eastAsia="Times New Roman" w:cs="Arial"/>
                <w:i/>
                <w:iCs/>
                <w:sz w:val="16"/>
                <w:szCs w:val="16"/>
                <w:lang w:eastAsia="en-GB"/>
              </w:rPr>
            </w:pPr>
            <w:r w:rsidRPr="009D0118">
              <w:rPr>
                <w:rFonts w:eastAsia="Times New Roman" w:cs="Arial"/>
                <w:i/>
                <w:iCs/>
                <w:sz w:val="16"/>
                <w:szCs w:val="16"/>
                <w:lang w:eastAsia="en-GB"/>
              </w:rPr>
              <w:t> </w:t>
            </w:r>
          </w:p>
        </w:tc>
        <w:tc>
          <w:tcPr>
            <w:tcW w:w="609" w:type="pct"/>
            <w:tcBorders>
              <w:top w:val="single" w:sz="4" w:space="0" w:color="auto"/>
              <w:left w:val="nil"/>
              <w:bottom w:val="nil"/>
              <w:right w:val="single" w:sz="4" w:space="0" w:color="auto"/>
            </w:tcBorders>
            <w:shd w:val="clear" w:color="auto" w:fill="auto"/>
            <w:noWrap/>
            <w:vAlign w:val="center"/>
            <w:hideMark/>
          </w:tcPr>
          <w:p w14:paraId="7CB8FEAE"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 </w:t>
            </w:r>
          </w:p>
        </w:tc>
        <w:tc>
          <w:tcPr>
            <w:tcW w:w="493" w:type="pct"/>
            <w:tcBorders>
              <w:top w:val="single" w:sz="4" w:space="0" w:color="auto"/>
              <w:left w:val="nil"/>
              <w:bottom w:val="nil"/>
              <w:right w:val="single" w:sz="4" w:space="0" w:color="auto"/>
            </w:tcBorders>
            <w:shd w:val="clear" w:color="auto" w:fill="auto"/>
            <w:noWrap/>
            <w:vAlign w:val="center"/>
            <w:hideMark/>
          </w:tcPr>
          <w:p w14:paraId="600F5358"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 </w:t>
            </w:r>
          </w:p>
        </w:tc>
        <w:tc>
          <w:tcPr>
            <w:tcW w:w="631" w:type="pct"/>
            <w:tcBorders>
              <w:top w:val="single" w:sz="4" w:space="0" w:color="auto"/>
              <w:left w:val="nil"/>
              <w:bottom w:val="nil"/>
              <w:right w:val="single" w:sz="4" w:space="0" w:color="auto"/>
            </w:tcBorders>
            <w:shd w:val="clear" w:color="auto" w:fill="auto"/>
            <w:noWrap/>
            <w:vAlign w:val="center"/>
            <w:hideMark/>
          </w:tcPr>
          <w:p w14:paraId="46FD33CE"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 </w:t>
            </w:r>
          </w:p>
        </w:tc>
        <w:tc>
          <w:tcPr>
            <w:tcW w:w="430" w:type="pct"/>
            <w:tcBorders>
              <w:top w:val="single" w:sz="4" w:space="0" w:color="auto"/>
              <w:left w:val="nil"/>
              <w:bottom w:val="nil"/>
              <w:right w:val="single" w:sz="4" w:space="0" w:color="auto"/>
            </w:tcBorders>
            <w:shd w:val="clear" w:color="auto" w:fill="auto"/>
            <w:noWrap/>
            <w:vAlign w:val="center"/>
            <w:hideMark/>
          </w:tcPr>
          <w:p w14:paraId="7AB941B2" w14:textId="77777777" w:rsidR="009D0118" w:rsidRPr="009D0118" w:rsidRDefault="00A854D0" w:rsidP="009D0118">
            <w:pPr>
              <w:autoSpaceDE/>
              <w:autoSpaceDN/>
              <w:adjustRightInd/>
              <w:spacing w:after="0"/>
              <w:jc w:val="center"/>
              <w:rPr>
                <w:rFonts w:eastAsia="Times New Roman" w:cs="Arial"/>
                <w:sz w:val="16"/>
                <w:szCs w:val="16"/>
                <w:lang w:eastAsia="en-GB"/>
              </w:rPr>
            </w:pPr>
            <w:r w:rsidRPr="009D0118">
              <w:rPr>
                <w:rFonts w:eastAsia="Times New Roman" w:cs="Arial"/>
                <w:sz w:val="16"/>
                <w:szCs w:val="16"/>
                <w:lang w:eastAsia="en-GB"/>
              </w:rPr>
              <w:t> </w:t>
            </w:r>
          </w:p>
        </w:tc>
        <w:tc>
          <w:tcPr>
            <w:tcW w:w="381" w:type="pct"/>
            <w:tcBorders>
              <w:top w:val="single" w:sz="4" w:space="0" w:color="auto"/>
              <w:left w:val="nil"/>
              <w:bottom w:val="nil"/>
              <w:right w:val="single" w:sz="4" w:space="0" w:color="auto"/>
            </w:tcBorders>
            <w:shd w:val="clear" w:color="auto" w:fill="auto"/>
            <w:noWrap/>
            <w:vAlign w:val="center"/>
            <w:hideMark/>
          </w:tcPr>
          <w:p w14:paraId="301A3E07" w14:textId="77777777" w:rsidR="009D0118" w:rsidRPr="009D0118" w:rsidRDefault="00A854D0" w:rsidP="009D0118">
            <w:pPr>
              <w:autoSpaceDE/>
              <w:autoSpaceDN/>
              <w:adjustRightInd/>
              <w:spacing w:after="0"/>
              <w:jc w:val="center"/>
              <w:rPr>
                <w:rFonts w:eastAsia="Times New Roman" w:cs="Arial"/>
                <w:i/>
                <w:iCs/>
                <w:sz w:val="16"/>
                <w:szCs w:val="16"/>
                <w:lang w:eastAsia="en-GB"/>
              </w:rPr>
            </w:pPr>
            <w:r w:rsidRPr="009D0118">
              <w:rPr>
                <w:rFonts w:eastAsia="Times New Roman" w:cs="Arial"/>
                <w:i/>
                <w:iCs/>
                <w:sz w:val="16"/>
                <w:szCs w:val="16"/>
                <w:lang w:eastAsia="en-GB"/>
              </w:rPr>
              <w:t> </w:t>
            </w:r>
          </w:p>
        </w:tc>
        <w:tc>
          <w:tcPr>
            <w:tcW w:w="381" w:type="pct"/>
            <w:tcBorders>
              <w:top w:val="single" w:sz="4" w:space="0" w:color="auto"/>
              <w:left w:val="nil"/>
              <w:bottom w:val="nil"/>
              <w:right w:val="single" w:sz="4" w:space="0" w:color="auto"/>
            </w:tcBorders>
            <w:shd w:val="clear" w:color="auto" w:fill="auto"/>
            <w:noWrap/>
            <w:vAlign w:val="center"/>
            <w:hideMark/>
          </w:tcPr>
          <w:p w14:paraId="79CA6FD3" w14:textId="77777777" w:rsidR="009D0118" w:rsidRPr="009D0118" w:rsidRDefault="00A854D0" w:rsidP="009D0118">
            <w:pPr>
              <w:autoSpaceDE/>
              <w:autoSpaceDN/>
              <w:adjustRightInd/>
              <w:spacing w:after="0"/>
              <w:jc w:val="center"/>
              <w:rPr>
                <w:rFonts w:eastAsia="Times New Roman" w:cs="Arial"/>
                <w:i/>
                <w:iCs/>
                <w:sz w:val="16"/>
                <w:szCs w:val="16"/>
                <w:lang w:eastAsia="en-GB"/>
              </w:rPr>
            </w:pPr>
            <w:r w:rsidRPr="009D0118">
              <w:rPr>
                <w:rFonts w:eastAsia="Times New Roman" w:cs="Arial"/>
                <w:i/>
                <w:iCs/>
                <w:sz w:val="16"/>
                <w:szCs w:val="16"/>
                <w:lang w:eastAsia="en-GB"/>
              </w:rPr>
              <w:t> </w:t>
            </w:r>
          </w:p>
        </w:tc>
        <w:tc>
          <w:tcPr>
            <w:tcW w:w="387" w:type="pct"/>
            <w:tcBorders>
              <w:top w:val="nil"/>
              <w:left w:val="nil"/>
              <w:bottom w:val="single" w:sz="8" w:space="0" w:color="auto"/>
              <w:right w:val="single" w:sz="4" w:space="0" w:color="auto"/>
            </w:tcBorders>
            <w:shd w:val="clear" w:color="auto" w:fill="auto"/>
            <w:noWrap/>
            <w:vAlign w:val="center"/>
            <w:hideMark/>
          </w:tcPr>
          <w:p w14:paraId="6630F753" w14:textId="77777777" w:rsidR="009D0118" w:rsidRPr="009D0118" w:rsidRDefault="00A854D0" w:rsidP="009D0118">
            <w:pPr>
              <w:autoSpaceDE/>
              <w:autoSpaceDN/>
              <w:adjustRightInd/>
              <w:spacing w:after="0"/>
              <w:jc w:val="center"/>
              <w:rPr>
                <w:rFonts w:eastAsia="Times New Roman" w:cs="Arial"/>
                <w:i/>
                <w:iCs/>
                <w:sz w:val="16"/>
                <w:szCs w:val="16"/>
                <w:lang w:eastAsia="en-GB"/>
              </w:rPr>
            </w:pPr>
            <w:r w:rsidRPr="009D0118">
              <w:rPr>
                <w:rFonts w:eastAsia="Times New Roman" w:cs="Arial"/>
                <w:i/>
                <w:iCs/>
                <w:sz w:val="16"/>
                <w:szCs w:val="16"/>
                <w:lang w:eastAsia="en-GB"/>
              </w:rPr>
              <w:t> </w:t>
            </w:r>
          </w:p>
        </w:tc>
        <w:tc>
          <w:tcPr>
            <w:tcW w:w="558" w:type="pct"/>
            <w:tcBorders>
              <w:top w:val="nil"/>
              <w:left w:val="nil"/>
              <w:bottom w:val="single" w:sz="8" w:space="0" w:color="auto"/>
              <w:right w:val="single" w:sz="8" w:space="0" w:color="auto"/>
            </w:tcBorders>
            <w:shd w:val="clear" w:color="auto" w:fill="auto"/>
            <w:noWrap/>
            <w:vAlign w:val="bottom"/>
            <w:hideMark/>
          </w:tcPr>
          <w:p w14:paraId="7F8D06C9" w14:textId="77777777" w:rsidR="009D0118" w:rsidRPr="009D0118" w:rsidRDefault="00A854D0" w:rsidP="009D0118">
            <w:pPr>
              <w:autoSpaceDE/>
              <w:autoSpaceDN/>
              <w:adjustRightInd/>
              <w:spacing w:after="0"/>
              <w:jc w:val="left"/>
              <w:rPr>
                <w:rFonts w:eastAsia="Times New Roman" w:cs="Arial"/>
                <w:sz w:val="20"/>
                <w:szCs w:val="20"/>
                <w:lang w:eastAsia="en-GB"/>
              </w:rPr>
            </w:pPr>
            <w:r w:rsidRPr="009D0118">
              <w:rPr>
                <w:rFonts w:eastAsia="Times New Roman" w:cs="Arial"/>
                <w:sz w:val="20"/>
                <w:szCs w:val="20"/>
                <w:lang w:eastAsia="en-GB"/>
              </w:rPr>
              <w:t> </w:t>
            </w:r>
          </w:p>
        </w:tc>
      </w:tr>
      <w:tr w:rsidR="006C72FB" w14:paraId="3F04BEA1" w14:textId="77777777" w:rsidTr="00F37CD6">
        <w:trPr>
          <w:trHeight w:val="432"/>
        </w:trPr>
        <w:tc>
          <w:tcPr>
            <w:tcW w:w="1130" w:type="pct"/>
            <w:tcBorders>
              <w:top w:val="single" w:sz="8" w:space="0" w:color="auto"/>
              <w:left w:val="single" w:sz="8" w:space="0" w:color="auto"/>
              <w:bottom w:val="single" w:sz="8" w:space="0" w:color="auto"/>
              <w:right w:val="single" w:sz="4" w:space="0" w:color="auto"/>
            </w:tcBorders>
            <w:shd w:val="clear" w:color="000000" w:fill="BFBFBF"/>
            <w:vAlign w:val="center"/>
            <w:hideMark/>
          </w:tcPr>
          <w:p w14:paraId="1E58EBD5" w14:textId="77777777" w:rsidR="009D0118" w:rsidRPr="009D0118" w:rsidRDefault="00A854D0" w:rsidP="009D0118">
            <w:pPr>
              <w:autoSpaceDE/>
              <w:autoSpaceDN/>
              <w:adjustRightInd/>
              <w:spacing w:after="0"/>
              <w:jc w:val="left"/>
              <w:rPr>
                <w:rFonts w:eastAsia="Times New Roman" w:cs="Arial"/>
                <w:b/>
                <w:bCs/>
                <w:sz w:val="16"/>
                <w:szCs w:val="16"/>
                <w:lang w:eastAsia="en-GB"/>
              </w:rPr>
            </w:pPr>
            <w:r w:rsidRPr="009D0118">
              <w:rPr>
                <w:rFonts w:eastAsia="Times New Roman" w:cs="Arial"/>
                <w:b/>
                <w:bCs/>
                <w:sz w:val="16"/>
                <w:szCs w:val="16"/>
                <w:lang w:eastAsia="en-GB"/>
              </w:rPr>
              <w:t>GRAND TOTAL</w:t>
            </w:r>
          </w:p>
        </w:tc>
        <w:tc>
          <w:tcPr>
            <w:tcW w:w="609" w:type="pct"/>
            <w:tcBorders>
              <w:top w:val="single" w:sz="8" w:space="0" w:color="auto"/>
              <w:left w:val="nil"/>
              <w:bottom w:val="single" w:sz="8" w:space="0" w:color="auto"/>
              <w:right w:val="single" w:sz="4" w:space="0" w:color="auto"/>
            </w:tcBorders>
            <w:shd w:val="clear" w:color="000000" w:fill="BFBFBF"/>
            <w:noWrap/>
            <w:vAlign w:val="center"/>
            <w:hideMark/>
          </w:tcPr>
          <w:p w14:paraId="545C092B"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-431.311</w:t>
            </w:r>
          </w:p>
        </w:tc>
        <w:tc>
          <w:tcPr>
            <w:tcW w:w="493" w:type="pct"/>
            <w:tcBorders>
              <w:top w:val="single" w:sz="8" w:space="0" w:color="auto"/>
              <w:left w:val="nil"/>
              <w:bottom w:val="single" w:sz="8" w:space="0" w:color="auto"/>
              <w:right w:val="single" w:sz="4" w:space="0" w:color="auto"/>
            </w:tcBorders>
            <w:shd w:val="clear" w:color="000000" w:fill="BFBFBF"/>
            <w:noWrap/>
            <w:vAlign w:val="center"/>
            <w:hideMark/>
          </w:tcPr>
          <w:p w14:paraId="69D898B3"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78.012</w:t>
            </w:r>
          </w:p>
        </w:tc>
        <w:tc>
          <w:tcPr>
            <w:tcW w:w="631" w:type="pct"/>
            <w:tcBorders>
              <w:top w:val="single" w:sz="8" w:space="0" w:color="auto"/>
              <w:left w:val="nil"/>
              <w:bottom w:val="single" w:sz="8" w:space="0" w:color="auto"/>
              <w:right w:val="single" w:sz="4" w:space="0" w:color="auto"/>
            </w:tcBorders>
            <w:shd w:val="clear" w:color="000000" w:fill="BFBFBF"/>
            <w:noWrap/>
            <w:vAlign w:val="center"/>
            <w:hideMark/>
          </w:tcPr>
          <w:p w14:paraId="35670250"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0.000</w:t>
            </w:r>
          </w:p>
        </w:tc>
        <w:tc>
          <w:tcPr>
            <w:tcW w:w="430" w:type="pct"/>
            <w:tcBorders>
              <w:top w:val="single" w:sz="8" w:space="0" w:color="auto"/>
              <w:left w:val="nil"/>
              <w:bottom w:val="single" w:sz="8" w:space="0" w:color="auto"/>
              <w:right w:val="single" w:sz="4" w:space="0" w:color="auto"/>
            </w:tcBorders>
            <w:shd w:val="clear" w:color="000000" w:fill="BFBFBF"/>
            <w:noWrap/>
            <w:vAlign w:val="center"/>
            <w:hideMark/>
          </w:tcPr>
          <w:p w14:paraId="4BD0977F"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-353.172</w:t>
            </w:r>
          </w:p>
        </w:tc>
        <w:tc>
          <w:tcPr>
            <w:tcW w:w="381" w:type="pct"/>
            <w:tcBorders>
              <w:top w:val="single" w:sz="8" w:space="0" w:color="auto"/>
              <w:left w:val="nil"/>
              <w:bottom w:val="single" w:sz="8" w:space="0" w:color="auto"/>
              <w:right w:val="single" w:sz="4" w:space="0" w:color="auto"/>
            </w:tcBorders>
            <w:shd w:val="clear" w:color="000000" w:fill="BFBFBF"/>
            <w:noWrap/>
            <w:vAlign w:val="center"/>
            <w:hideMark/>
          </w:tcPr>
          <w:p w14:paraId="1C50B436"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25.853</w:t>
            </w:r>
          </w:p>
        </w:tc>
        <w:tc>
          <w:tcPr>
            <w:tcW w:w="381" w:type="pct"/>
            <w:tcBorders>
              <w:top w:val="single" w:sz="8" w:space="0" w:color="auto"/>
              <w:left w:val="nil"/>
              <w:bottom w:val="single" w:sz="8" w:space="0" w:color="auto"/>
              <w:right w:val="single" w:sz="4" w:space="0" w:color="auto"/>
            </w:tcBorders>
            <w:shd w:val="clear" w:color="000000" w:fill="BFBFBF"/>
            <w:noWrap/>
            <w:vAlign w:val="center"/>
            <w:hideMark/>
          </w:tcPr>
          <w:p w14:paraId="5F1E439F"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18.471</w:t>
            </w:r>
          </w:p>
        </w:tc>
        <w:tc>
          <w:tcPr>
            <w:tcW w:w="387" w:type="pct"/>
            <w:tcBorders>
              <w:top w:val="nil"/>
              <w:left w:val="nil"/>
              <w:bottom w:val="single" w:sz="8" w:space="0" w:color="auto"/>
              <w:right w:val="single" w:sz="4" w:space="0" w:color="auto"/>
            </w:tcBorders>
            <w:shd w:val="clear" w:color="000000" w:fill="BFBFBF"/>
            <w:noWrap/>
            <w:vAlign w:val="center"/>
            <w:hideMark/>
          </w:tcPr>
          <w:p w14:paraId="271519F5"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1.008</w:t>
            </w:r>
          </w:p>
        </w:tc>
        <w:tc>
          <w:tcPr>
            <w:tcW w:w="558" w:type="pct"/>
            <w:tcBorders>
              <w:top w:val="nil"/>
              <w:left w:val="nil"/>
              <w:bottom w:val="single" w:sz="8" w:space="0" w:color="auto"/>
              <w:right w:val="single" w:sz="8" w:space="0" w:color="auto"/>
            </w:tcBorders>
            <w:shd w:val="clear" w:color="000000" w:fill="BFBFBF"/>
            <w:noWrap/>
            <w:vAlign w:val="center"/>
            <w:hideMark/>
          </w:tcPr>
          <w:p w14:paraId="6F9194C2" w14:textId="77777777" w:rsidR="009D0118" w:rsidRPr="009D0118" w:rsidRDefault="00A854D0" w:rsidP="009D0118">
            <w:pPr>
              <w:autoSpaceDE/>
              <w:autoSpaceDN/>
              <w:adjustRightInd/>
              <w:spacing w:after="0"/>
              <w:jc w:val="center"/>
              <w:rPr>
                <w:rFonts w:eastAsia="Times New Roman" w:cs="Arial"/>
                <w:b/>
                <w:bCs/>
                <w:sz w:val="16"/>
                <w:szCs w:val="16"/>
                <w:lang w:eastAsia="en-GB"/>
              </w:rPr>
            </w:pPr>
            <w:r w:rsidRPr="009D0118">
              <w:rPr>
                <w:rFonts w:eastAsia="Times New Roman" w:cs="Arial"/>
                <w:b/>
                <w:bCs/>
                <w:sz w:val="16"/>
                <w:szCs w:val="16"/>
                <w:lang w:eastAsia="en-GB"/>
              </w:rPr>
              <w:t>-307.840</w:t>
            </w:r>
          </w:p>
        </w:tc>
      </w:tr>
    </w:tbl>
    <w:p w14:paraId="13C00BAB" w14:textId="77777777" w:rsidR="009D0118" w:rsidRDefault="009D0118" w:rsidP="0046463C">
      <w:pPr>
        <w:spacing w:after="0"/>
        <w:ind w:right="-24"/>
      </w:pPr>
    </w:p>
    <w:p w14:paraId="1F336ACF" w14:textId="4E2C4C9A" w:rsidR="0046463C" w:rsidRPr="003A755A" w:rsidRDefault="00A854D0" w:rsidP="0046463C">
      <w:pPr>
        <w:spacing w:after="0"/>
        <w:ind w:right="-24"/>
        <w:rPr>
          <w:rFonts w:cs="Arial"/>
          <w:highlight w:val="yellow"/>
        </w:rPr>
      </w:pPr>
      <w:r>
        <w:br/>
      </w:r>
      <w:r w:rsidRPr="00781FA3">
        <w:rPr>
          <w:rFonts w:cs="Arial"/>
        </w:rPr>
        <w:t xml:space="preserve">The County Fund shown at the top of Table 7 is the balance set aside to cover the authority against a serious </w:t>
      </w:r>
      <w:bookmarkStart w:id="11" w:name="_Int_vQaF4mCk"/>
      <w:r w:rsidRPr="00781FA3">
        <w:rPr>
          <w:rFonts w:cs="Arial"/>
        </w:rPr>
        <w:t>emergency situation</w:t>
      </w:r>
      <w:bookmarkEnd w:id="11"/>
      <w:r w:rsidRPr="00781FA3">
        <w:rPr>
          <w:rFonts w:cs="Arial"/>
        </w:rPr>
        <w:t xml:space="preserve"> (e.g</w:t>
      </w:r>
      <w:r w:rsidRPr="3EAE651A">
        <w:rPr>
          <w:rFonts w:cs="Arial"/>
        </w:rPr>
        <w:t>.,</w:t>
      </w:r>
      <w:r w:rsidRPr="00781FA3">
        <w:rPr>
          <w:rFonts w:cs="Arial"/>
        </w:rPr>
        <w:t xml:space="preserve"> widespread flooding); a critical and unexpected loss of income to the authority and for general cash flow purposes</w:t>
      </w:r>
      <w:r w:rsidRPr="499A8059">
        <w:rPr>
          <w:rFonts w:cs="Arial"/>
        </w:rPr>
        <w:t xml:space="preserve">. </w:t>
      </w:r>
      <w:r w:rsidRPr="00781FA3">
        <w:rPr>
          <w:rFonts w:cs="Arial"/>
        </w:rPr>
        <w:t xml:space="preserve">In </w:t>
      </w:r>
      <w:r w:rsidRPr="00781FA3">
        <w:rPr>
          <w:rFonts w:cs="Arial"/>
        </w:rPr>
        <w:lastRenderedPageBreak/>
        <w:t xml:space="preserve">considering these various factors the county council is forecast to maintain its County Fund balance at £23.437m, </w:t>
      </w:r>
      <w:r w:rsidRPr="002B730A">
        <w:rPr>
          <w:rFonts w:cs="Arial"/>
        </w:rPr>
        <w:t xml:space="preserve">equating to circa </w:t>
      </w:r>
      <w:r w:rsidR="0001361B" w:rsidRPr="002B730A">
        <w:rPr>
          <w:rFonts w:cs="Arial"/>
        </w:rPr>
        <w:t>2.</w:t>
      </w:r>
      <w:r w:rsidR="004157AB">
        <w:rPr>
          <w:rFonts w:cs="Arial"/>
        </w:rPr>
        <w:t>4</w:t>
      </w:r>
      <w:r w:rsidRPr="002B730A">
        <w:rPr>
          <w:rFonts w:cs="Arial"/>
        </w:rPr>
        <w:t xml:space="preserve">% of net budget. </w:t>
      </w:r>
    </w:p>
    <w:p w14:paraId="12955368" w14:textId="77777777" w:rsidR="0046463C" w:rsidRPr="003A755A" w:rsidRDefault="0046463C" w:rsidP="0046463C">
      <w:pPr>
        <w:tabs>
          <w:tab w:val="left" w:pos="567"/>
          <w:tab w:val="left" w:pos="1134"/>
        </w:tabs>
        <w:spacing w:after="0"/>
        <w:rPr>
          <w:rFonts w:cs="Arial"/>
          <w:highlight w:val="yellow"/>
        </w:rPr>
      </w:pPr>
    </w:p>
    <w:p w14:paraId="05AD65D9" w14:textId="02E9F1DD" w:rsidR="0046463C" w:rsidRPr="008D3583" w:rsidRDefault="00A854D0" w:rsidP="0046463C">
      <w:pPr>
        <w:tabs>
          <w:tab w:val="left" w:pos="567"/>
          <w:tab w:val="left" w:pos="1134"/>
        </w:tabs>
        <w:spacing w:after="0"/>
        <w:rPr>
          <w:rFonts w:cs="Arial"/>
        </w:rPr>
      </w:pPr>
      <w:r w:rsidRPr="008D3583">
        <w:rPr>
          <w:rFonts w:cs="Arial"/>
        </w:rPr>
        <w:t xml:space="preserve">The value of the uncommitted transitional reserve is </w:t>
      </w:r>
      <w:r w:rsidR="00FE6E2C" w:rsidRPr="008D3583">
        <w:rPr>
          <w:rFonts w:cs="Arial"/>
        </w:rPr>
        <w:t>currently forecast to be £</w:t>
      </w:r>
      <w:r w:rsidR="000B66F1" w:rsidRPr="008D3583">
        <w:rPr>
          <w:rFonts w:cs="Arial"/>
        </w:rPr>
        <w:t>191.093</w:t>
      </w:r>
      <w:r w:rsidRPr="008D3583">
        <w:rPr>
          <w:rFonts w:cs="Arial"/>
        </w:rPr>
        <w:t xml:space="preserve">m by the end of March </w:t>
      </w:r>
      <w:r w:rsidR="000B66F1" w:rsidRPr="008D3583">
        <w:rPr>
          <w:rFonts w:cs="Arial"/>
        </w:rPr>
        <w:t>2023</w:t>
      </w:r>
      <w:r w:rsidR="0064320A">
        <w:rPr>
          <w:rFonts w:cs="Arial"/>
        </w:rPr>
        <w:t xml:space="preserve"> but this will also be impacted directly by the value of any final over or underspend for the current financial year</w:t>
      </w:r>
      <w:r w:rsidRPr="008D3583">
        <w:rPr>
          <w:rFonts w:cs="Arial"/>
        </w:rPr>
        <w:t xml:space="preserve">. </w:t>
      </w:r>
    </w:p>
    <w:p w14:paraId="6828D79F" w14:textId="77777777" w:rsidR="0046463C" w:rsidRPr="008D3583" w:rsidRDefault="0046463C" w:rsidP="0046463C">
      <w:pPr>
        <w:tabs>
          <w:tab w:val="left" w:pos="567"/>
          <w:tab w:val="left" w:pos="1134"/>
        </w:tabs>
        <w:spacing w:after="0"/>
        <w:rPr>
          <w:rFonts w:cs="Arial"/>
        </w:rPr>
      </w:pPr>
    </w:p>
    <w:p w14:paraId="01E4EBE5" w14:textId="673AE92C" w:rsidR="0046463C" w:rsidRPr="008D3583" w:rsidRDefault="00A854D0" w:rsidP="0046463C">
      <w:pPr>
        <w:spacing w:after="0"/>
        <w:rPr>
          <w:rFonts w:cs="Arial"/>
        </w:rPr>
      </w:pPr>
      <w:r w:rsidRPr="0B86641D">
        <w:rPr>
          <w:rFonts w:cs="Arial"/>
        </w:rPr>
        <w:t xml:space="preserve">The transitional reserve is forecast to be sufficient to meet the identified funding gap for </w:t>
      </w:r>
      <w:r w:rsidR="008D3583" w:rsidRPr="0B86641D">
        <w:rPr>
          <w:rFonts w:cs="Arial"/>
        </w:rPr>
        <w:t>2023</w:t>
      </w:r>
      <w:r w:rsidRPr="0B86641D">
        <w:rPr>
          <w:rFonts w:cs="Arial"/>
        </w:rPr>
        <w:t>/</w:t>
      </w:r>
      <w:r w:rsidR="008D3583" w:rsidRPr="0B86641D">
        <w:rPr>
          <w:rFonts w:cs="Arial"/>
        </w:rPr>
        <w:t xml:space="preserve">24 </w:t>
      </w:r>
      <w:r w:rsidR="005C3F5B" w:rsidRPr="0B86641D">
        <w:rPr>
          <w:rFonts w:cs="Arial"/>
        </w:rPr>
        <w:t xml:space="preserve">but not later years </w:t>
      </w:r>
      <w:r w:rsidRPr="0B86641D">
        <w:rPr>
          <w:rFonts w:cs="Arial"/>
        </w:rPr>
        <w:t>as set out in table 8 below</w:t>
      </w:r>
      <w:r>
        <w:rPr>
          <w:rFonts w:cs="Arial"/>
        </w:rPr>
        <w:t xml:space="preserve"> without additional savings being identified</w:t>
      </w:r>
      <w:r w:rsidRPr="0B86641D">
        <w:rPr>
          <w:rFonts w:cs="Arial"/>
        </w:rPr>
        <w:t xml:space="preserve">. </w:t>
      </w:r>
    </w:p>
    <w:p w14:paraId="463A70B4" w14:textId="77777777" w:rsidR="0046463C" w:rsidRPr="008D3583" w:rsidRDefault="0046463C" w:rsidP="0046463C">
      <w:pPr>
        <w:spacing w:after="0"/>
        <w:rPr>
          <w:rFonts w:cs="Arial"/>
        </w:rPr>
      </w:pPr>
    </w:p>
    <w:p w14:paraId="4B02924B" w14:textId="4D7BBCE1" w:rsidR="0046463C" w:rsidRPr="008D3583" w:rsidRDefault="00A854D0" w:rsidP="0046463C">
      <w:pPr>
        <w:tabs>
          <w:tab w:val="left" w:pos="567"/>
          <w:tab w:val="left" w:pos="1134"/>
        </w:tabs>
        <w:spacing w:after="0"/>
        <w:rPr>
          <w:rFonts w:cs="Arial"/>
          <w:b/>
          <w:i/>
          <w:u w:val="single"/>
        </w:rPr>
      </w:pPr>
      <w:r w:rsidRPr="008D3583">
        <w:rPr>
          <w:rFonts w:cs="Arial"/>
          <w:b/>
          <w:i/>
          <w:u w:val="single"/>
        </w:rPr>
        <w:t>Table 8</w:t>
      </w:r>
    </w:p>
    <w:p w14:paraId="1F09D50A" w14:textId="573E972E" w:rsidR="00886A82" w:rsidRPr="008D3583" w:rsidRDefault="00886A82" w:rsidP="0046463C">
      <w:pPr>
        <w:tabs>
          <w:tab w:val="left" w:pos="567"/>
          <w:tab w:val="left" w:pos="1134"/>
        </w:tabs>
        <w:spacing w:after="0"/>
        <w:rPr>
          <w:rFonts w:cs="Arial"/>
          <w:b/>
          <w:i/>
          <w:u w:val="single"/>
        </w:rPr>
      </w:pPr>
    </w:p>
    <w:tbl>
      <w:tblPr>
        <w:tblW w:w="5000" w:type="pct"/>
        <w:tblLook w:val="04A0" w:firstRow="1" w:lastRow="0" w:firstColumn="1" w:lastColumn="0" w:noHBand="0" w:noVBand="1"/>
      </w:tblPr>
      <w:tblGrid>
        <w:gridCol w:w="3599"/>
        <w:gridCol w:w="1327"/>
        <w:gridCol w:w="1243"/>
        <w:gridCol w:w="1441"/>
        <w:gridCol w:w="1396"/>
      </w:tblGrid>
      <w:tr w:rsidR="006C72FB" w14:paraId="3940AD0D" w14:textId="77777777" w:rsidTr="29DF077E">
        <w:trPr>
          <w:trHeight w:val="330"/>
        </w:trPr>
        <w:tc>
          <w:tcPr>
            <w:tcW w:w="199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77EA6462" w14:textId="77777777" w:rsidR="00213113" w:rsidRPr="00213113" w:rsidRDefault="00A854D0" w:rsidP="00213113">
            <w:pPr>
              <w:autoSpaceDE/>
              <w:autoSpaceDN/>
              <w:adjustRightInd/>
              <w:spacing w:after="0"/>
              <w:jc w:val="left"/>
              <w:rPr>
                <w:rFonts w:eastAsia="Times New Roman" w:cs="Arial"/>
                <w:b/>
                <w:bCs/>
                <w:lang w:eastAsia="en-GB"/>
              </w:rPr>
            </w:pPr>
            <w:r w:rsidRPr="00213113">
              <w:rPr>
                <w:rFonts w:eastAsia="Times New Roman" w:cs="Arial"/>
                <w:b/>
                <w:bCs/>
                <w:lang w:eastAsia="en-GB"/>
              </w:rPr>
              <w:t> </w:t>
            </w:r>
          </w:p>
        </w:tc>
        <w:tc>
          <w:tcPr>
            <w:tcW w:w="737"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7619F87D" w14:textId="77777777" w:rsidR="00213113" w:rsidRPr="00213113" w:rsidRDefault="00A854D0" w:rsidP="00213113">
            <w:pPr>
              <w:autoSpaceDE/>
              <w:autoSpaceDN/>
              <w:adjustRightInd/>
              <w:spacing w:after="0"/>
              <w:jc w:val="right"/>
              <w:rPr>
                <w:rFonts w:eastAsia="Times New Roman" w:cs="Arial"/>
                <w:b/>
                <w:bCs/>
                <w:lang w:eastAsia="en-GB"/>
              </w:rPr>
            </w:pPr>
            <w:r w:rsidRPr="00213113">
              <w:rPr>
                <w:rFonts w:eastAsia="Times New Roman" w:cs="Arial"/>
                <w:b/>
                <w:bCs/>
                <w:lang w:eastAsia="en-GB"/>
              </w:rPr>
              <w:t>2023/24</w:t>
            </w:r>
          </w:p>
        </w:tc>
        <w:tc>
          <w:tcPr>
            <w:tcW w:w="690"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5D5EBB09" w14:textId="77777777" w:rsidR="00213113" w:rsidRPr="00213113" w:rsidRDefault="00A854D0" w:rsidP="00213113">
            <w:pPr>
              <w:autoSpaceDE/>
              <w:autoSpaceDN/>
              <w:adjustRightInd/>
              <w:spacing w:after="0"/>
              <w:jc w:val="right"/>
              <w:rPr>
                <w:rFonts w:eastAsia="Times New Roman" w:cs="Arial"/>
                <w:b/>
                <w:bCs/>
                <w:lang w:eastAsia="en-GB"/>
              </w:rPr>
            </w:pPr>
            <w:r w:rsidRPr="00213113">
              <w:rPr>
                <w:rFonts w:eastAsia="Times New Roman" w:cs="Arial"/>
                <w:b/>
                <w:bCs/>
                <w:lang w:eastAsia="en-GB"/>
              </w:rPr>
              <w:t>2024/25</w:t>
            </w:r>
          </w:p>
        </w:tc>
        <w:tc>
          <w:tcPr>
            <w:tcW w:w="800"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163A2A34" w14:textId="77777777" w:rsidR="00213113" w:rsidRPr="00213113" w:rsidRDefault="00A854D0" w:rsidP="00213113">
            <w:pPr>
              <w:autoSpaceDE/>
              <w:autoSpaceDN/>
              <w:adjustRightInd/>
              <w:spacing w:after="0"/>
              <w:jc w:val="right"/>
              <w:rPr>
                <w:rFonts w:eastAsia="Times New Roman" w:cs="Arial"/>
                <w:b/>
                <w:bCs/>
                <w:lang w:eastAsia="en-GB"/>
              </w:rPr>
            </w:pPr>
            <w:r w:rsidRPr="00213113">
              <w:rPr>
                <w:rFonts w:eastAsia="Times New Roman" w:cs="Arial"/>
                <w:b/>
                <w:bCs/>
                <w:lang w:eastAsia="en-GB"/>
              </w:rPr>
              <w:t>2025/26</w:t>
            </w:r>
          </w:p>
        </w:tc>
        <w:tc>
          <w:tcPr>
            <w:tcW w:w="775"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5071CFE0" w14:textId="77777777" w:rsidR="00213113" w:rsidRPr="00213113" w:rsidRDefault="00A854D0" w:rsidP="00213113">
            <w:pPr>
              <w:autoSpaceDE/>
              <w:autoSpaceDN/>
              <w:adjustRightInd/>
              <w:spacing w:after="0"/>
              <w:jc w:val="right"/>
              <w:rPr>
                <w:rFonts w:eastAsia="Times New Roman" w:cs="Arial"/>
                <w:b/>
                <w:bCs/>
                <w:lang w:eastAsia="en-GB"/>
              </w:rPr>
            </w:pPr>
            <w:r w:rsidRPr="00213113">
              <w:rPr>
                <w:rFonts w:eastAsia="Times New Roman" w:cs="Arial"/>
                <w:b/>
                <w:bCs/>
                <w:lang w:eastAsia="en-GB"/>
              </w:rPr>
              <w:t>2026/27</w:t>
            </w:r>
          </w:p>
        </w:tc>
      </w:tr>
      <w:tr w:rsidR="006C72FB" w14:paraId="6469D336" w14:textId="77777777" w:rsidTr="29DF077E">
        <w:trPr>
          <w:trHeight w:val="330"/>
        </w:trPr>
        <w:tc>
          <w:tcPr>
            <w:tcW w:w="1998" w:type="pc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013B9C0D" w14:textId="77777777" w:rsidR="00213113" w:rsidRPr="00213113" w:rsidRDefault="00A854D0" w:rsidP="00213113">
            <w:pPr>
              <w:autoSpaceDE/>
              <w:autoSpaceDN/>
              <w:adjustRightInd/>
              <w:spacing w:after="0"/>
              <w:jc w:val="left"/>
              <w:rPr>
                <w:rFonts w:eastAsia="Times New Roman" w:cs="Arial"/>
                <w:b/>
                <w:bCs/>
                <w:lang w:eastAsia="en-GB"/>
              </w:rPr>
            </w:pPr>
            <w:r w:rsidRPr="00213113">
              <w:rPr>
                <w:rFonts w:eastAsia="Times New Roman" w:cs="Arial"/>
                <w:b/>
                <w:bCs/>
                <w:lang w:eastAsia="en-GB"/>
              </w:rPr>
              <w:t> </w:t>
            </w:r>
          </w:p>
        </w:tc>
        <w:tc>
          <w:tcPr>
            <w:tcW w:w="737" w:type="pct"/>
            <w:tcBorders>
              <w:top w:val="nil"/>
              <w:left w:val="nil"/>
              <w:bottom w:val="single" w:sz="8" w:space="0" w:color="auto"/>
              <w:right w:val="single" w:sz="8" w:space="0" w:color="auto"/>
            </w:tcBorders>
            <w:shd w:val="clear" w:color="auto" w:fill="BFBFBF" w:themeFill="background1" w:themeFillShade="BF"/>
            <w:vAlign w:val="center"/>
            <w:hideMark/>
          </w:tcPr>
          <w:p w14:paraId="66DE4768" w14:textId="77777777" w:rsidR="00213113" w:rsidRPr="00213113" w:rsidRDefault="00A854D0" w:rsidP="00213113">
            <w:pPr>
              <w:autoSpaceDE/>
              <w:autoSpaceDN/>
              <w:adjustRightInd/>
              <w:spacing w:after="0"/>
              <w:jc w:val="center"/>
              <w:rPr>
                <w:rFonts w:eastAsia="Times New Roman" w:cs="Arial"/>
                <w:b/>
                <w:bCs/>
                <w:lang w:eastAsia="en-GB"/>
              </w:rPr>
            </w:pPr>
            <w:r w:rsidRPr="00213113">
              <w:rPr>
                <w:rFonts w:eastAsia="Times New Roman" w:cs="Arial"/>
                <w:b/>
                <w:bCs/>
                <w:lang w:eastAsia="en-GB"/>
              </w:rPr>
              <w:t>£m</w:t>
            </w:r>
          </w:p>
        </w:tc>
        <w:tc>
          <w:tcPr>
            <w:tcW w:w="690" w:type="pct"/>
            <w:tcBorders>
              <w:top w:val="nil"/>
              <w:left w:val="nil"/>
              <w:bottom w:val="single" w:sz="8" w:space="0" w:color="auto"/>
              <w:right w:val="single" w:sz="8" w:space="0" w:color="auto"/>
            </w:tcBorders>
            <w:shd w:val="clear" w:color="auto" w:fill="BFBFBF" w:themeFill="background1" w:themeFillShade="BF"/>
            <w:vAlign w:val="center"/>
            <w:hideMark/>
          </w:tcPr>
          <w:p w14:paraId="786652D2" w14:textId="77777777" w:rsidR="00213113" w:rsidRPr="00213113" w:rsidRDefault="00A854D0" w:rsidP="00213113">
            <w:pPr>
              <w:autoSpaceDE/>
              <w:autoSpaceDN/>
              <w:adjustRightInd/>
              <w:spacing w:after="0"/>
              <w:jc w:val="center"/>
              <w:rPr>
                <w:rFonts w:eastAsia="Times New Roman" w:cs="Arial"/>
                <w:b/>
                <w:bCs/>
                <w:lang w:eastAsia="en-GB"/>
              </w:rPr>
            </w:pPr>
            <w:r w:rsidRPr="00213113">
              <w:rPr>
                <w:rFonts w:eastAsia="Times New Roman" w:cs="Arial"/>
                <w:b/>
                <w:bCs/>
                <w:lang w:eastAsia="en-GB"/>
              </w:rPr>
              <w:t>£m</w:t>
            </w:r>
          </w:p>
        </w:tc>
        <w:tc>
          <w:tcPr>
            <w:tcW w:w="800" w:type="pct"/>
            <w:tcBorders>
              <w:top w:val="nil"/>
              <w:left w:val="nil"/>
              <w:bottom w:val="single" w:sz="8" w:space="0" w:color="auto"/>
              <w:right w:val="single" w:sz="8" w:space="0" w:color="auto"/>
            </w:tcBorders>
            <w:shd w:val="clear" w:color="auto" w:fill="BFBFBF" w:themeFill="background1" w:themeFillShade="BF"/>
            <w:vAlign w:val="center"/>
            <w:hideMark/>
          </w:tcPr>
          <w:p w14:paraId="08843921" w14:textId="77777777" w:rsidR="00213113" w:rsidRPr="00213113" w:rsidRDefault="00A854D0" w:rsidP="00213113">
            <w:pPr>
              <w:autoSpaceDE/>
              <w:autoSpaceDN/>
              <w:adjustRightInd/>
              <w:spacing w:after="0"/>
              <w:jc w:val="center"/>
              <w:rPr>
                <w:rFonts w:eastAsia="Times New Roman" w:cs="Arial"/>
                <w:b/>
                <w:bCs/>
                <w:lang w:eastAsia="en-GB"/>
              </w:rPr>
            </w:pPr>
            <w:r w:rsidRPr="00213113">
              <w:rPr>
                <w:rFonts w:eastAsia="Times New Roman" w:cs="Arial"/>
                <w:b/>
                <w:bCs/>
                <w:lang w:eastAsia="en-GB"/>
              </w:rPr>
              <w:t>£m</w:t>
            </w:r>
          </w:p>
        </w:tc>
        <w:tc>
          <w:tcPr>
            <w:tcW w:w="775" w:type="pct"/>
            <w:tcBorders>
              <w:top w:val="nil"/>
              <w:left w:val="nil"/>
              <w:bottom w:val="single" w:sz="8" w:space="0" w:color="auto"/>
              <w:right w:val="single" w:sz="8" w:space="0" w:color="auto"/>
            </w:tcBorders>
            <w:shd w:val="clear" w:color="auto" w:fill="BFBFBF" w:themeFill="background1" w:themeFillShade="BF"/>
            <w:vAlign w:val="center"/>
            <w:hideMark/>
          </w:tcPr>
          <w:p w14:paraId="53905DC3" w14:textId="77777777" w:rsidR="00213113" w:rsidRPr="00213113" w:rsidRDefault="00A854D0" w:rsidP="00213113">
            <w:pPr>
              <w:autoSpaceDE/>
              <w:autoSpaceDN/>
              <w:adjustRightInd/>
              <w:spacing w:after="0"/>
              <w:jc w:val="center"/>
              <w:rPr>
                <w:rFonts w:eastAsia="Times New Roman" w:cs="Arial"/>
                <w:b/>
                <w:bCs/>
                <w:lang w:eastAsia="en-GB"/>
              </w:rPr>
            </w:pPr>
            <w:r w:rsidRPr="00213113">
              <w:rPr>
                <w:rFonts w:eastAsia="Times New Roman" w:cs="Arial"/>
                <w:b/>
                <w:bCs/>
                <w:lang w:eastAsia="en-GB"/>
              </w:rPr>
              <w:t>£m</w:t>
            </w:r>
          </w:p>
        </w:tc>
      </w:tr>
      <w:tr w:rsidR="006C72FB" w14:paraId="602A74AC" w14:textId="77777777" w:rsidTr="29DF077E">
        <w:trPr>
          <w:trHeight w:val="330"/>
        </w:trPr>
        <w:tc>
          <w:tcPr>
            <w:tcW w:w="1998" w:type="pct"/>
            <w:tcBorders>
              <w:top w:val="nil"/>
              <w:left w:val="single" w:sz="8" w:space="0" w:color="auto"/>
              <w:bottom w:val="single" w:sz="8" w:space="0" w:color="auto"/>
              <w:right w:val="single" w:sz="8" w:space="0" w:color="auto"/>
            </w:tcBorders>
            <w:shd w:val="clear" w:color="auto" w:fill="auto"/>
            <w:vAlign w:val="center"/>
            <w:hideMark/>
          </w:tcPr>
          <w:p w14:paraId="4AD8A27F" w14:textId="77777777" w:rsidR="00213113" w:rsidRPr="00213113" w:rsidRDefault="00A854D0" w:rsidP="00213113">
            <w:pPr>
              <w:autoSpaceDE/>
              <w:autoSpaceDN/>
              <w:adjustRightInd/>
              <w:spacing w:after="0"/>
              <w:jc w:val="left"/>
              <w:rPr>
                <w:rFonts w:eastAsia="Times New Roman" w:cs="Arial"/>
                <w:b/>
                <w:bCs/>
                <w:lang w:eastAsia="en-GB"/>
              </w:rPr>
            </w:pPr>
            <w:r w:rsidRPr="00213113">
              <w:rPr>
                <w:rFonts w:eastAsia="Times New Roman" w:cs="Arial"/>
                <w:b/>
                <w:bCs/>
                <w:lang w:eastAsia="en-GB"/>
              </w:rPr>
              <w:t>Opening Balance</w:t>
            </w:r>
          </w:p>
        </w:tc>
        <w:tc>
          <w:tcPr>
            <w:tcW w:w="737" w:type="pct"/>
            <w:tcBorders>
              <w:top w:val="nil"/>
              <w:left w:val="nil"/>
              <w:bottom w:val="single" w:sz="8" w:space="0" w:color="auto"/>
              <w:right w:val="single" w:sz="8" w:space="0" w:color="auto"/>
            </w:tcBorders>
            <w:shd w:val="clear" w:color="auto" w:fill="FFFFFF" w:themeFill="background1"/>
            <w:vAlign w:val="center"/>
            <w:hideMark/>
          </w:tcPr>
          <w:p w14:paraId="73DEC0D8" w14:textId="77777777" w:rsidR="00213113" w:rsidRPr="00213113" w:rsidRDefault="00A854D0" w:rsidP="00213113">
            <w:pPr>
              <w:autoSpaceDE/>
              <w:autoSpaceDN/>
              <w:adjustRightInd/>
              <w:spacing w:after="0"/>
              <w:jc w:val="right"/>
              <w:rPr>
                <w:rFonts w:eastAsia="Times New Roman" w:cs="Arial"/>
                <w:lang w:eastAsia="en-GB"/>
              </w:rPr>
            </w:pPr>
            <w:r w:rsidRPr="00213113">
              <w:rPr>
                <w:rFonts w:eastAsia="Times New Roman" w:cs="Arial"/>
                <w:lang w:eastAsia="en-GB"/>
              </w:rPr>
              <w:t>191.093</w:t>
            </w:r>
          </w:p>
        </w:tc>
        <w:tc>
          <w:tcPr>
            <w:tcW w:w="690" w:type="pct"/>
            <w:tcBorders>
              <w:top w:val="nil"/>
              <w:left w:val="nil"/>
              <w:bottom w:val="single" w:sz="8" w:space="0" w:color="auto"/>
              <w:right w:val="single" w:sz="8" w:space="0" w:color="auto"/>
            </w:tcBorders>
            <w:shd w:val="clear" w:color="auto" w:fill="auto"/>
            <w:vAlign w:val="center"/>
            <w:hideMark/>
          </w:tcPr>
          <w:p w14:paraId="43990F16" w14:textId="77777777" w:rsidR="00213113" w:rsidRPr="00213113" w:rsidRDefault="00A854D0" w:rsidP="00213113">
            <w:pPr>
              <w:autoSpaceDE/>
              <w:autoSpaceDN/>
              <w:adjustRightInd/>
              <w:spacing w:after="0"/>
              <w:jc w:val="right"/>
              <w:rPr>
                <w:rFonts w:eastAsia="Times New Roman" w:cs="Arial"/>
                <w:lang w:eastAsia="en-GB"/>
              </w:rPr>
            </w:pPr>
            <w:r w:rsidRPr="00213113">
              <w:rPr>
                <w:rFonts w:eastAsia="Times New Roman" w:cs="Arial"/>
                <w:lang w:eastAsia="en-GB"/>
              </w:rPr>
              <w:t>99.487</w:t>
            </w:r>
          </w:p>
        </w:tc>
        <w:tc>
          <w:tcPr>
            <w:tcW w:w="800" w:type="pct"/>
            <w:tcBorders>
              <w:top w:val="nil"/>
              <w:left w:val="nil"/>
              <w:bottom w:val="single" w:sz="8" w:space="0" w:color="auto"/>
              <w:right w:val="single" w:sz="8" w:space="0" w:color="auto"/>
            </w:tcBorders>
            <w:shd w:val="clear" w:color="auto" w:fill="auto"/>
            <w:vAlign w:val="center"/>
            <w:hideMark/>
          </w:tcPr>
          <w:p w14:paraId="61E49921" w14:textId="77777777" w:rsidR="00213113" w:rsidRPr="00213113" w:rsidRDefault="00A854D0" w:rsidP="00213113">
            <w:pPr>
              <w:autoSpaceDE/>
              <w:autoSpaceDN/>
              <w:adjustRightInd/>
              <w:spacing w:after="0"/>
              <w:jc w:val="right"/>
              <w:rPr>
                <w:rFonts w:eastAsia="Times New Roman" w:cs="Arial"/>
                <w:lang w:eastAsia="en-GB"/>
              </w:rPr>
            </w:pPr>
            <w:r w:rsidRPr="00213113">
              <w:rPr>
                <w:rFonts w:eastAsia="Times New Roman" w:cs="Arial"/>
                <w:lang w:eastAsia="en-GB"/>
              </w:rPr>
              <w:t>-15.760</w:t>
            </w:r>
          </w:p>
        </w:tc>
        <w:tc>
          <w:tcPr>
            <w:tcW w:w="775" w:type="pct"/>
            <w:tcBorders>
              <w:top w:val="nil"/>
              <w:left w:val="nil"/>
              <w:bottom w:val="single" w:sz="8" w:space="0" w:color="auto"/>
              <w:right w:val="single" w:sz="8" w:space="0" w:color="auto"/>
            </w:tcBorders>
            <w:shd w:val="clear" w:color="auto" w:fill="auto"/>
            <w:vAlign w:val="center"/>
            <w:hideMark/>
          </w:tcPr>
          <w:p w14:paraId="19D37489" w14:textId="77777777" w:rsidR="00213113" w:rsidRPr="00213113" w:rsidRDefault="00A854D0" w:rsidP="00213113">
            <w:pPr>
              <w:autoSpaceDE/>
              <w:autoSpaceDN/>
              <w:adjustRightInd/>
              <w:spacing w:after="0"/>
              <w:jc w:val="right"/>
              <w:rPr>
                <w:rFonts w:eastAsia="Times New Roman" w:cs="Arial"/>
                <w:lang w:eastAsia="en-GB"/>
              </w:rPr>
            </w:pPr>
            <w:r w:rsidRPr="00213113">
              <w:rPr>
                <w:rFonts w:eastAsia="Times New Roman" w:cs="Arial"/>
                <w:lang w:eastAsia="en-GB"/>
              </w:rPr>
              <w:t>-154.571</w:t>
            </w:r>
          </w:p>
        </w:tc>
      </w:tr>
      <w:tr w:rsidR="006C72FB" w14:paraId="2E461172" w14:textId="77777777" w:rsidTr="29DF077E">
        <w:trPr>
          <w:trHeight w:val="330"/>
        </w:trPr>
        <w:tc>
          <w:tcPr>
            <w:tcW w:w="1998" w:type="pct"/>
            <w:tcBorders>
              <w:top w:val="nil"/>
              <w:left w:val="single" w:sz="8" w:space="0" w:color="auto"/>
              <w:bottom w:val="single" w:sz="8" w:space="0" w:color="auto"/>
              <w:right w:val="single" w:sz="8" w:space="0" w:color="auto"/>
            </w:tcBorders>
            <w:shd w:val="clear" w:color="auto" w:fill="auto"/>
            <w:vAlign w:val="center"/>
            <w:hideMark/>
          </w:tcPr>
          <w:p w14:paraId="57CAE092" w14:textId="77777777" w:rsidR="00213113" w:rsidRPr="00213113" w:rsidRDefault="00A854D0" w:rsidP="00213113">
            <w:pPr>
              <w:autoSpaceDE/>
              <w:autoSpaceDN/>
              <w:adjustRightInd/>
              <w:spacing w:after="0"/>
              <w:jc w:val="left"/>
              <w:rPr>
                <w:rFonts w:eastAsia="Times New Roman" w:cs="Arial"/>
                <w:b/>
                <w:bCs/>
                <w:lang w:eastAsia="en-GB"/>
              </w:rPr>
            </w:pPr>
            <w:r w:rsidRPr="00213113">
              <w:rPr>
                <w:rFonts w:eastAsia="Times New Roman" w:cs="Arial"/>
                <w:b/>
                <w:bCs/>
                <w:lang w:eastAsia="en-GB"/>
              </w:rPr>
              <w:t>Gap funding</w:t>
            </w:r>
          </w:p>
        </w:tc>
        <w:tc>
          <w:tcPr>
            <w:tcW w:w="737" w:type="pct"/>
            <w:tcBorders>
              <w:top w:val="nil"/>
              <w:left w:val="nil"/>
              <w:bottom w:val="single" w:sz="8" w:space="0" w:color="auto"/>
              <w:right w:val="single" w:sz="8" w:space="0" w:color="auto"/>
            </w:tcBorders>
            <w:shd w:val="clear" w:color="auto" w:fill="auto"/>
            <w:vAlign w:val="center"/>
            <w:hideMark/>
          </w:tcPr>
          <w:p w14:paraId="1D162512" w14:textId="77777777" w:rsidR="00213113" w:rsidRPr="00213113" w:rsidRDefault="00A854D0" w:rsidP="00213113">
            <w:pPr>
              <w:autoSpaceDE/>
              <w:autoSpaceDN/>
              <w:adjustRightInd/>
              <w:spacing w:after="0"/>
              <w:jc w:val="right"/>
              <w:rPr>
                <w:rFonts w:eastAsia="Times New Roman" w:cs="Arial"/>
                <w:lang w:eastAsia="en-GB"/>
              </w:rPr>
            </w:pPr>
            <w:r w:rsidRPr="00213113">
              <w:rPr>
                <w:rFonts w:eastAsia="Times New Roman" w:cs="Arial"/>
                <w:lang w:eastAsia="en-GB"/>
              </w:rPr>
              <w:t>87.054</w:t>
            </w:r>
          </w:p>
        </w:tc>
        <w:tc>
          <w:tcPr>
            <w:tcW w:w="690" w:type="pct"/>
            <w:tcBorders>
              <w:top w:val="nil"/>
              <w:left w:val="nil"/>
              <w:bottom w:val="single" w:sz="8" w:space="0" w:color="auto"/>
              <w:right w:val="single" w:sz="8" w:space="0" w:color="auto"/>
            </w:tcBorders>
            <w:shd w:val="clear" w:color="auto" w:fill="auto"/>
            <w:vAlign w:val="center"/>
            <w:hideMark/>
          </w:tcPr>
          <w:p w14:paraId="7598E9D2" w14:textId="77777777" w:rsidR="00213113" w:rsidRPr="00213113" w:rsidRDefault="00A854D0" w:rsidP="00213113">
            <w:pPr>
              <w:autoSpaceDE/>
              <w:autoSpaceDN/>
              <w:adjustRightInd/>
              <w:spacing w:after="0"/>
              <w:jc w:val="right"/>
              <w:rPr>
                <w:rFonts w:eastAsia="Times New Roman" w:cs="Arial"/>
                <w:lang w:eastAsia="en-GB"/>
              </w:rPr>
            </w:pPr>
            <w:r w:rsidRPr="00213113">
              <w:rPr>
                <w:rFonts w:eastAsia="Times New Roman" w:cs="Arial"/>
                <w:lang w:eastAsia="en-GB"/>
              </w:rPr>
              <w:t>112.763</w:t>
            </w:r>
          </w:p>
        </w:tc>
        <w:tc>
          <w:tcPr>
            <w:tcW w:w="800" w:type="pct"/>
            <w:tcBorders>
              <w:top w:val="nil"/>
              <w:left w:val="nil"/>
              <w:bottom w:val="single" w:sz="8" w:space="0" w:color="auto"/>
              <w:right w:val="single" w:sz="8" w:space="0" w:color="auto"/>
            </w:tcBorders>
            <w:shd w:val="clear" w:color="auto" w:fill="auto"/>
            <w:vAlign w:val="center"/>
            <w:hideMark/>
          </w:tcPr>
          <w:p w14:paraId="064F05AB" w14:textId="77777777" w:rsidR="00213113" w:rsidRPr="00213113" w:rsidRDefault="00A854D0" w:rsidP="00213113">
            <w:pPr>
              <w:autoSpaceDE/>
              <w:autoSpaceDN/>
              <w:adjustRightInd/>
              <w:spacing w:after="0"/>
              <w:jc w:val="right"/>
              <w:rPr>
                <w:rFonts w:eastAsia="Times New Roman" w:cs="Arial"/>
                <w:lang w:eastAsia="en-GB"/>
              </w:rPr>
            </w:pPr>
            <w:r w:rsidRPr="00213113">
              <w:rPr>
                <w:rFonts w:eastAsia="Times New Roman" w:cs="Arial"/>
                <w:lang w:eastAsia="en-GB"/>
              </w:rPr>
              <w:t>138.812</w:t>
            </w:r>
          </w:p>
        </w:tc>
        <w:tc>
          <w:tcPr>
            <w:tcW w:w="775" w:type="pct"/>
            <w:tcBorders>
              <w:top w:val="nil"/>
              <w:left w:val="nil"/>
              <w:bottom w:val="single" w:sz="8" w:space="0" w:color="auto"/>
              <w:right w:val="single" w:sz="8" w:space="0" w:color="auto"/>
            </w:tcBorders>
            <w:shd w:val="clear" w:color="auto" w:fill="auto"/>
            <w:vAlign w:val="center"/>
            <w:hideMark/>
          </w:tcPr>
          <w:p w14:paraId="209925A6" w14:textId="77777777" w:rsidR="00213113" w:rsidRPr="00213113" w:rsidRDefault="00A854D0" w:rsidP="00213113">
            <w:pPr>
              <w:autoSpaceDE/>
              <w:autoSpaceDN/>
              <w:adjustRightInd/>
              <w:spacing w:after="0"/>
              <w:jc w:val="right"/>
              <w:rPr>
                <w:rFonts w:eastAsia="Times New Roman" w:cs="Arial"/>
                <w:lang w:eastAsia="en-GB"/>
              </w:rPr>
            </w:pPr>
            <w:r w:rsidRPr="00213113">
              <w:rPr>
                <w:rFonts w:eastAsia="Times New Roman" w:cs="Arial"/>
                <w:lang w:eastAsia="en-GB"/>
              </w:rPr>
              <w:t>159.678</w:t>
            </w:r>
          </w:p>
        </w:tc>
      </w:tr>
      <w:tr w:rsidR="006C72FB" w14:paraId="3126D9E2" w14:textId="77777777" w:rsidTr="29DF077E">
        <w:trPr>
          <w:trHeight w:val="330"/>
        </w:trPr>
        <w:tc>
          <w:tcPr>
            <w:tcW w:w="1998" w:type="pct"/>
            <w:tcBorders>
              <w:top w:val="nil"/>
              <w:left w:val="single" w:sz="8" w:space="0" w:color="auto"/>
              <w:bottom w:val="single" w:sz="8" w:space="0" w:color="auto"/>
              <w:right w:val="single" w:sz="8" w:space="0" w:color="auto"/>
            </w:tcBorders>
            <w:shd w:val="clear" w:color="auto" w:fill="auto"/>
            <w:vAlign w:val="center"/>
            <w:hideMark/>
          </w:tcPr>
          <w:p w14:paraId="51180879" w14:textId="77777777" w:rsidR="00213113" w:rsidRPr="00213113" w:rsidRDefault="00A854D0" w:rsidP="00213113">
            <w:pPr>
              <w:autoSpaceDE/>
              <w:autoSpaceDN/>
              <w:adjustRightInd/>
              <w:spacing w:after="0"/>
              <w:jc w:val="left"/>
              <w:rPr>
                <w:rFonts w:eastAsia="Times New Roman" w:cs="Arial"/>
                <w:b/>
                <w:bCs/>
                <w:lang w:eastAsia="en-GB"/>
              </w:rPr>
            </w:pPr>
            <w:r w:rsidRPr="00213113">
              <w:rPr>
                <w:rFonts w:eastAsia="Times New Roman" w:cs="Arial"/>
                <w:b/>
                <w:bCs/>
                <w:lang w:eastAsia="en-GB"/>
              </w:rPr>
              <w:t>Commitments</w:t>
            </w:r>
          </w:p>
        </w:tc>
        <w:tc>
          <w:tcPr>
            <w:tcW w:w="737" w:type="pct"/>
            <w:tcBorders>
              <w:top w:val="nil"/>
              <w:left w:val="nil"/>
              <w:bottom w:val="single" w:sz="8" w:space="0" w:color="auto"/>
              <w:right w:val="single" w:sz="8" w:space="0" w:color="auto"/>
            </w:tcBorders>
            <w:shd w:val="clear" w:color="auto" w:fill="FFFFFF" w:themeFill="background1"/>
            <w:vAlign w:val="center"/>
            <w:hideMark/>
          </w:tcPr>
          <w:p w14:paraId="2209DD6E" w14:textId="77777777" w:rsidR="00213113" w:rsidRPr="00213113" w:rsidRDefault="00A854D0" w:rsidP="00213113">
            <w:pPr>
              <w:autoSpaceDE/>
              <w:autoSpaceDN/>
              <w:adjustRightInd/>
              <w:spacing w:after="0"/>
              <w:jc w:val="right"/>
              <w:rPr>
                <w:rFonts w:eastAsia="Times New Roman" w:cs="Arial"/>
                <w:lang w:eastAsia="en-GB"/>
              </w:rPr>
            </w:pPr>
            <w:r w:rsidRPr="00213113">
              <w:rPr>
                <w:rFonts w:eastAsia="Times New Roman" w:cs="Arial"/>
                <w:lang w:eastAsia="en-GB"/>
              </w:rPr>
              <w:t>4.552</w:t>
            </w:r>
          </w:p>
        </w:tc>
        <w:tc>
          <w:tcPr>
            <w:tcW w:w="690" w:type="pct"/>
            <w:tcBorders>
              <w:top w:val="nil"/>
              <w:left w:val="nil"/>
              <w:bottom w:val="single" w:sz="8" w:space="0" w:color="auto"/>
              <w:right w:val="single" w:sz="8" w:space="0" w:color="auto"/>
            </w:tcBorders>
            <w:shd w:val="clear" w:color="auto" w:fill="FFFFFF" w:themeFill="background1"/>
            <w:vAlign w:val="center"/>
            <w:hideMark/>
          </w:tcPr>
          <w:p w14:paraId="6F8085C5" w14:textId="77777777" w:rsidR="00213113" w:rsidRPr="00213113" w:rsidRDefault="00A854D0" w:rsidP="00213113">
            <w:pPr>
              <w:autoSpaceDE/>
              <w:autoSpaceDN/>
              <w:adjustRightInd/>
              <w:spacing w:after="0"/>
              <w:jc w:val="right"/>
              <w:rPr>
                <w:rFonts w:eastAsia="Times New Roman" w:cs="Arial"/>
                <w:lang w:eastAsia="en-GB"/>
              </w:rPr>
            </w:pPr>
            <w:r w:rsidRPr="00213113">
              <w:rPr>
                <w:rFonts w:eastAsia="Times New Roman" w:cs="Arial"/>
                <w:lang w:eastAsia="en-GB"/>
              </w:rPr>
              <w:t>2.484</w:t>
            </w:r>
          </w:p>
        </w:tc>
        <w:tc>
          <w:tcPr>
            <w:tcW w:w="800" w:type="pct"/>
            <w:tcBorders>
              <w:top w:val="nil"/>
              <w:left w:val="nil"/>
              <w:bottom w:val="single" w:sz="8" w:space="0" w:color="auto"/>
              <w:right w:val="single" w:sz="8" w:space="0" w:color="auto"/>
            </w:tcBorders>
            <w:shd w:val="clear" w:color="auto" w:fill="FFFFFF" w:themeFill="background1"/>
            <w:vAlign w:val="center"/>
            <w:hideMark/>
          </w:tcPr>
          <w:p w14:paraId="3098DB57" w14:textId="77777777" w:rsidR="00213113" w:rsidRPr="00213113" w:rsidRDefault="00A854D0" w:rsidP="00213113">
            <w:pPr>
              <w:autoSpaceDE/>
              <w:autoSpaceDN/>
              <w:adjustRightInd/>
              <w:spacing w:after="0"/>
              <w:jc w:val="right"/>
              <w:rPr>
                <w:rFonts w:eastAsia="Times New Roman" w:cs="Arial"/>
                <w:lang w:eastAsia="en-GB"/>
              </w:rPr>
            </w:pPr>
            <w:r w:rsidRPr="00213113">
              <w:rPr>
                <w:rFonts w:eastAsia="Times New Roman" w:cs="Arial"/>
                <w:lang w:eastAsia="en-GB"/>
              </w:rPr>
              <w:t>0.000</w:t>
            </w:r>
          </w:p>
        </w:tc>
        <w:tc>
          <w:tcPr>
            <w:tcW w:w="775" w:type="pct"/>
            <w:tcBorders>
              <w:top w:val="nil"/>
              <w:left w:val="nil"/>
              <w:bottom w:val="single" w:sz="8" w:space="0" w:color="auto"/>
              <w:right w:val="single" w:sz="8" w:space="0" w:color="auto"/>
            </w:tcBorders>
            <w:shd w:val="clear" w:color="auto" w:fill="BFBFBF" w:themeFill="background1" w:themeFillShade="BF"/>
            <w:vAlign w:val="center"/>
            <w:hideMark/>
          </w:tcPr>
          <w:p w14:paraId="73236D59" w14:textId="77777777" w:rsidR="00213113" w:rsidRPr="00213113" w:rsidRDefault="00A854D0" w:rsidP="00213113">
            <w:pPr>
              <w:autoSpaceDE/>
              <w:autoSpaceDN/>
              <w:adjustRightInd/>
              <w:spacing w:after="0"/>
              <w:jc w:val="right"/>
              <w:rPr>
                <w:rFonts w:eastAsia="Times New Roman" w:cs="Arial"/>
                <w:lang w:eastAsia="en-GB"/>
              </w:rPr>
            </w:pPr>
            <w:r w:rsidRPr="00213113">
              <w:rPr>
                <w:rFonts w:eastAsia="Times New Roman" w:cs="Arial"/>
                <w:lang w:eastAsia="en-GB"/>
              </w:rPr>
              <w:t> </w:t>
            </w:r>
          </w:p>
        </w:tc>
      </w:tr>
      <w:tr w:rsidR="006C72FB" w14:paraId="57CC55CC" w14:textId="77777777" w:rsidTr="29DF077E">
        <w:trPr>
          <w:trHeight w:val="330"/>
        </w:trPr>
        <w:tc>
          <w:tcPr>
            <w:tcW w:w="1998" w:type="pc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3A8171F8" w14:textId="77777777" w:rsidR="00213113" w:rsidRPr="00213113" w:rsidRDefault="00A854D0" w:rsidP="00213113">
            <w:pPr>
              <w:autoSpaceDE/>
              <w:autoSpaceDN/>
              <w:adjustRightInd/>
              <w:spacing w:after="0"/>
              <w:jc w:val="left"/>
              <w:rPr>
                <w:rFonts w:eastAsia="Times New Roman" w:cs="Arial"/>
                <w:b/>
                <w:bCs/>
                <w:lang w:eastAsia="en-GB"/>
              </w:rPr>
            </w:pPr>
            <w:r w:rsidRPr="00213113">
              <w:rPr>
                <w:rFonts w:eastAsia="Times New Roman" w:cs="Arial"/>
                <w:b/>
                <w:bCs/>
                <w:lang w:eastAsia="en-GB"/>
              </w:rPr>
              <w:t>Closing balance</w:t>
            </w:r>
          </w:p>
        </w:tc>
        <w:tc>
          <w:tcPr>
            <w:tcW w:w="737" w:type="pct"/>
            <w:tcBorders>
              <w:top w:val="nil"/>
              <w:left w:val="nil"/>
              <w:bottom w:val="single" w:sz="8" w:space="0" w:color="auto"/>
              <w:right w:val="single" w:sz="8" w:space="0" w:color="auto"/>
            </w:tcBorders>
            <w:shd w:val="clear" w:color="auto" w:fill="BFBFBF" w:themeFill="background1" w:themeFillShade="BF"/>
            <w:vAlign w:val="center"/>
            <w:hideMark/>
          </w:tcPr>
          <w:p w14:paraId="12FDF9C8" w14:textId="77777777" w:rsidR="00213113" w:rsidRPr="00213113" w:rsidRDefault="00A854D0" w:rsidP="00213113">
            <w:pPr>
              <w:autoSpaceDE/>
              <w:autoSpaceDN/>
              <w:adjustRightInd/>
              <w:spacing w:after="0"/>
              <w:jc w:val="right"/>
              <w:rPr>
                <w:rFonts w:eastAsia="Times New Roman" w:cs="Arial"/>
                <w:b/>
                <w:bCs/>
                <w:lang w:eastAsia="en-GB"/>
              </w:rPr>
            </w:pPr>
            <w:r w:rsidRPr="00213113">
              <w:rPr>
                <w:rFonts w:eastAsia="Times New Roman" w:cs="Arial"/>
                <w:b/>
                <w:bCs/>
                <w:lang w:eastAsia="en-GB"/>
              </w:rPr>
              <w:t>99.487</w:t>
            </w:r>
          </w:p>
        </w:tc>
        <w:tc>
          <w:tcPr>
            <w:tcW w:w="690" w:type="pct"/>
            <w:tcBorders>
              <w:top w:val="nil"/>
              <w:left w:val="nil"/>
              <w:bottom w:val="single" w:sz="8" w:space="0" w:color="auto"/>
              <w:right w:val="single" w:sz="8" w:space="0" w:color="auto"/>
            </w:tcBorders>
            <w:shd w:val="clear" w:color="auto" w:fill="BFBFBF" w:themeFill="background1" w:themeFillShade="BF"/>
            <w:vAlign w:val="center"/>
            <w:hideMark/>
          </w:tcPr>
          <w:p w14:paraId="34643A75" w14:textId="77777777" w:rsidR="00213113" w:rsidRPr="00213113" w:rsidRDefault="00A854D0" w:rsidP="00213113">
            <w:pPr>
              <w:autoSpaceDE/>
              <w:autoSpaceDN/>
              <w:adjustRightInd/>
              <w:spacing w:after="0"/>
              <w:jc w:val="right"/>
              <w:rPr>
                <w:rFonts w:eastAsia="Times New Roman" w:cs="Arial"/>
                <w:b/>
                <w:bCs/>
                <w:lang w:eastAsia="en-GB"/>
              </w:rPr>
            </w:pPr>
            <w:r w:rsidRPr="00213113">
              <w:rPr>
                <w:rFonts w:eastAsia="Times New Roman" w:cs="Arial"/>
                <w:b/>
                <w:bCs/>
                <w:lang w:eastAsia="en-GB"/>
              </w:rPr>
              <w:t>-15.760</w:t>
            </w:r>
          </w:p>
        </w:tc>
        <w:tc>
          <w:tcPr>
            <w:tcW w:w="800" w:type="pct"/>
            <w:tcBorders>
              <w:top w:val="nil"/>
              <w:left w:val="nil"/>
              <w:bottom w:val="single" w:sz="8" w:space="0" w:color="auto"/>
              <w:right w:val="single" w:sz="8" w:space="0" w:color="auto"/>
            </w:tcBorders>
            <w:shd w:val="clear" w:color="auto" w:fill="BFBFBF" w:themeFill="background1" w:themeFillShade="BF"/>
            <w:vAlign w:val="center"/>
            <w:hideMark/>
          </w:tcPr>
          <w:p w14:paraId="04237B51" w14:textId="77777777" w:rsidR="00213113" w:rsidRPr="00213113" w:rsidRDefault="00A854D0" w:rsidP="00213113">
            <w:pPr>
              <w:autoSpaceDE/>
              <w:autoSpaceDN/>
              <w:adjustRightInd/>
              <w:spacing w:after="0"/>
              <w:jc w:val="right"/>
              <w:rPr>
                <w:rFonts w:eastAsia="Times New Roman" w:cs="Arial"/>
                <w:b/>
                <w:bCs/>
                <w:lang w:eastAsia="en-GB"/>
              </w:rPr>
            </w:pPr>
            <w:r w:rsidRPr="00213113">
              <w:rPr>
                <w:rFonts w:eastAsia="Times New Roman" w:cs="Arial"/>
                <w:b/>
                <w:bCs/>
                <w:lang w:eastAsia="en-GB"/>
              </w:rPr>
              <w:t>-154.571</w:t>
            </w:r>
          </w:p>
        </w:tc>
        <w:tc>
          <w:tcPr>
            <w:tcW w:w="775" w:type="pct"/>
            <w:tcBorders>
              <w:top w:val="nil"/>
              <w:left w:val="nil"/>
              <w:bottom w:val="single" w:sz="8" w:space="0" w:color="auto"/>
              <w:right w:val="single" w:sz="8" w:space="0" w:color="auto"/>
            </w:tcBorders>
            <w:shd w:val="clear" w:color="auto" w:fill="BFBFBF" w:themeFill="background1" w:themeFillShade="BF"/>
            <w:vAlign w:val="center"/>
            <w:hideMark/>
          </w:tcPr>
          <w:p w14:paraId="603E799D" w14:textId="77777777" w:rsidR="00213113" w:rsidRPr="00213113" w:rsidRDefault="00A854D0" w:rsidP="00213113">
            <w:pPr>
              <w:autoSpaceDE/>
              <w:autoSpaceDN/>
              <w:adjustRightInd/>
              <w:spacing w:after="0"/>
              <w:jc w:val="right"/>
              <w:rPr>
                <w:rFonts w:eastAsia="Times New Roman" w:cs="Arial"/>
                <w:b/>
                <w:bCs/>
                <w:lang w:eastAsia="en-GB"/>
              </w:rPr>
            </w:pPr>
            <w:r w:rsidRPr="00213113">
              <w:rPr>
                <w:rFonts w:eastAsia="Times New Roman" w:cs="Arial"/>
                <w:b/>
                <w:bCs/>
                <w:lang w:eastAsia="en-GB"/>
              </w:rPr>
              <w:t>-314.249</w:t>
            </w:r>
          </w:p>
        </w:tc>
      </w:tr>
    </w:tbl>
    <w:p w14:paraId="7D27B42A" w14:textId="6BC19FA4" w:rsidR="0046463C" w:rsidRPr="003A755A" w:rsidRDefault="0046463C" w:rsidP="0046463C">
      <w:pPr>
        <w:tabs>
          <w:tab w:val="left" w:pos="567"/>
          <w:tab w:val="left" w:pos="1134"/>
        </w:tabs>
        <w:spacing w:after="0"/>
        <w:rPr>
          <w:rFonts w:cs="Arial"/>
          <w:highlight w:val="yellow"/>
        </w:rPr>
      </w:pPr>
    </w:p>
    <w:p w14:paraId="7737A57E" w14:textId="77777777" w:rsidR="0046463C" w:rsidRPr="00B709A3" w:rsidRDefault="00A854D0" w:rsidP="0046463C">
      <w:pPr>
        <w:tabs>
          <w:tab w:val="left" w:pos="567"/>
          <w:tab w:val="left" w:pos="1134"/>
        </w:tabs>
        <w:spacing w:after="0"/>
        <w:rPr>
          <w:rFonts w:cs="Arial"/>
          <w:b/>
        </w:rPr>
      </w:pPr>
      <w:r w:rsidRPr="00B709A3">
        <w:rPr>
          <w:rFonts w:cs="Arial"/>
          <w:b/>
        </w:rPr>
        <w:t>5. Future risks and opportunities</w:t>
      </w:r>
    </w:p>
    <w:p w14:paraId="2CD4C4E4" w14:textId="77777777" w:rsidR="0046463C" w:rsidRPr="00B709A3" w:rsidRDefault="0046463C" w:rsidP="0046463C">
      <w:pPr>
        <w:tabs>
          <w:tab w:val="left" w:pos="567"/>
          <w:tab w:val="left" w:pos="1134"/>
        </w:tabs>
        <w:spacing w:after="0"/>
        <w:rPr>
          <w:rFonts w:cs="Arial"/>
        </w:rPr>
      </w:pPr>
    </w:p>
    <w:p w14:paraId="79922AE1" w14:textId="77777777" w:rsidR="0046463C" w:rsidRPr="00B709A3" w:rsidRDefault="00A854D0" w:rsidP="0046463C">
      <w:pPr>
        <w:tabs>
          <w:tab w:val="left" w:pos="567"/>
          <w:tab w:val="left" w:pos="1134"/>
        </w:tabs>
        <w:spacing w:after="0"/>
        <w:rPr>
          <w:rFonts w:cs="Arial"/>
        </w:rPr>
      </w:pPr>
      <w:r w:rsidRPr="00B709A3">
        <w:rPr>
          <w:rFonts w:cs="Arial"/>
        </w:rPr>
        <w:t>The following are key future risks, the full impact of which is not known at this stage:</w:t>
      </w:r>
    </w:p>
    <w:p w14:paraId="7783E196" w14:textId="77777777" w:rsidR="0046463C" w:rsidRPr="003A755A" w:rsidRDefault="0046463C" w:rsidP="0046463C">
      <w:pPr>
        <w:tabs>
          <w:tab w:val="left" w:pos="567"/>
          <w:tab w:val="left" w:pos="1134"/>
        </w:tabs>
        <w:spacing w:after="0"/>
        <w:rPr>
          <w:rFonts w:cs="Arial"/>
          <w:highlight w:val="yellow"/>
        </w:rPr>
      </w:pPr>
    </w:p>
    <w:p w14:paraId="19722E68" w14:textId="7D576DED" w:rsidR="0046463C" w:rsidRPr="003A755A" w:rsidRDefault="00A854D0" w:rsidP="0046463C">
      <w:pPr>
        <w:tabs>
          <w:tab w:val="left" w:pos="567"/>
          <w:tab w:val="left" w:pos="1134"/>
        </w:tabs>
        <w:spacing w:after="0"/>
        <w:rPr>
          <w:rFonts w:cs="Arial"/>
          <w:b/>
        </w:rPr>
      </w:pPr>
      <w:r w:rsidRPr="5A4D0C2B">
        <w:rPr>
          <w:rFonts w:cs="Arial"/>
          <w:b/>
        </w:rPr>
        <w:t xml:space="preserve">5.1 The financial impacts of the ongoing </w:t>
      </w:r>
      <w:r w:rsidR="004B34F1" w:rsidRPr="5A4D0C2B">
        <w:rPr>
          <w:rFonts w:cs="Arial"/>
          <w:b/>
        </w:rPr>
        <w:t>C</w:t>
      </w:r>
      <w:r w:rsidR="004B34F1">
        <w:rPr>
          <w:rFonts w:cs="Arial"/>
          <w:b/>
        </w:rPr>
        <w:t>OVID</w:t>
      </w:r>
      <w:r w:rsidRPr="5A4D0C2B">
        <w:rPr>
          <w:rFonts w:cs="Arial"/>
          <w:b/>
        </w:rPr>
        <w:t>-19 response</w:t>
      </w:r>
    </w:p>
    <w:p w14:paraId="36D0595D" w14:textId="0556B12D" w:rsidR="0046463C" w:rsidRPr="003A755A" w:rsidRDefault="00A854D0" w:rsidP="0046463C">
      <w:pPr>
        <w:tabs>
          <w:tab w:val="left" w:pos="567"/>
          <w:tab w:val="left" w:pos="1134"/>
        </w:tabs>
        <w:spacing w:after="0"/>
        <w:rPr>
          <w:rFonts w:cs="Arial"/>
        </w:rPr>
      </w:pPr>
      <w:r w:rsidRPr="5A4D0C2B">
        <w:rPr>
          <w:rFonts w:cs="Arial"/>
        </w:rPr>
        <w:t>Many of</w:t>
      </w:r>
      <w:r w:rsidR="005F28BA" w:rsidRPr="5A4D0C2B">
        <w:rPr>
          <w:rFonts w:cs="Arial"/>
        </w:rPr>
        <w:t xml:space="preserve"> the </w:t>
      </w:r>
      <w:r w:rsidR="000B0754">
        <w:rPr>
          <w:rFonts w:cs="Arial"/>
        </w:rPr>
        <w:t>immediate and</w:t>
      </w:r>
      <w:r w:rsidR="0064320A">
        <w:rPr>
          <w:rFonts w:cs="Arial"/>
        </w:rPr>
        <w:t xml:space="preserve"> direct </w:t>
      </w:r>
      <w:r w:rsidR="005F28BA" w:rsidRPr="5A4D0C2B">
        <w:rPr>
          <w:rFonts w:cs="Arial"/>
        </w:rPr>
        <w:t xml:space="preserve">effects of the </w:t>
      </w:r>
      <w:r w:rsidR="004B34F1" w:rsidRPr="5A4D0C2B">
        <w:rPr>
          <w:rFonts w:cs="Arial"/>
        </w:rPr>
        <w:t>C</w:t>
      </w:r>
      <w:r w:rsidR="004B34F1">
        <w:rPr>
          <w:rFonts w:cs="Arial"/>
        </w:rPr>
        <w:t>OVID</w:t>
      </w:r>
      <w:r w:rsidR="005F28BA" w:rsidRPr="5A4D0C2B">
        <w:rPr>
          <w:rFonts w:cs="Arial"/>
        </w:rPr>
        <w:t xml:space="preserve">-19 pandemic are now </w:t>
      </w:r>
      <w:r w:rsidR="0064320A">
        <w:rPr>
          <w:rFonts w:cs="Arial"/>
        </w:rPr>
        <w:t xml:space="preserve">largely </w:t>
      </w:r>
      <w:r w:rsidR="5B4CBCB9" w:rsidRPr="5A4D0C2B">
        <w:rPr>
          <w:rFonts w:cs="Arial"/>
        </w:rPr>
        <w:t>concluded</w:t>
      </w:r>
      <w:r w:rsidR="0064320A">
        <w:rPr>
          <w:rFonts w:cs="Arial"/>
        </w:rPr>
        <w:t xml:space="preserve"> and there is no additional funding </w:t>
      </w:r>
      <w:r w:rsidR="003C2DCF">
        <w:rPr>
          <w:rFonts w:cs="Arial"/>
        </w:rPr>
        <w:t xml:space="preserve">being </w:t>
      </w:r>
      <w:r w:rsidR="0064320A">
        <w:rPr>
          <w:rFonts w:cs="Arial"/>
        </w:rPr>
        <w:t xml:space="preserve">provided to councils </w:t>
      </w:r>
      <w:r w:rsidR="003C2DCF">
        <w:rPr>
          <w:rFonts w:cs="Arial"/>
        </w:rPr>
        <w:t xml:space="preserve">currently with regard to the impact of Covid </w:t>
      </w:r>
      <w:r w:rsidR="0064320A">
        <w:rPr>
          <w:rFonts w:cs="Arial"/>
        </w:rPr>
        <w:t>in the current financial year or going forwards</w:t>
      </w:r>
      <w:r w:rsidR="003C2DCF">
        <w:rPr>
          <w:rFonts w:cs="Arial"/>
        </w:rPr>
        <w:t xml:space="preserve">.  </w:t>
      </w:r>
      <w:r w:rsidR="000B0754">
        <w:rPr>
          <w:rFonts w:cs="Arial"/>
        </w:rPr>
        <w:t>However,</w:t>
      </w:r>
      <w:r w:rsidR="003C2DCF">
        <w:rPr>
          <w:rFonts w:cs="Arial"/>
        </w:rPr>
        <w:t xml:space="preserve"> </w:t>
      </w:r>
      <w:r w:rsidR="003C2DCF" w:rsidRPr="5A4D0C2B">
        <w:rPr>
          <w:rFonts w:cs="Arial"/>
        </w:rPr>
        <w:t xml:space="preserve">both Adults and Childrens </w:t>
      </w:r>
      <w:r w:rsidR="003C2DCF">
        <w:rPr>
          <w:rFonts w:cs="Arial"/>
        </w:rPr>
        <w:t>are still experiencing pressures resulting f</w:t>
      </w:r>
      <w:r w:rsidR="000B0754">
        <w:rPr>
          <w:rFonts w:cs="Arial"/>
        </w:rPr>
        <w:t>ro</w:t>
      </w:r>
      <w:r w:rsidR="003C2DCF">
        <w:rPr>
          <w:rFonts w:cs="Arial"/>
        </w:rPr>
        <w:t xml:space="preserve">m the pandemic including the impact of latent demand and </w:t>
      </w:r>
      <w:r w:rsidR="6EC46C5E" w:rsidRPr="5A4D0C2B">
        <w:rPr>
          <w:rFonts w:cs="Arial"/>
        </w:rPr>
        <w:t>a</w:t>
      </w:r>
      <w:r w:rsidR="003C2DCF">
        <w:rPr>
          <w:rFonts w:cs="Arial"/>
        </w:rPr>
        <w:t>ny</w:t>
      </w:r>
      <w:r w:rsidR="005F28BA" w:rsidRPr="5A4D0C2B">
        <w:rPr>
          <w:rFonts w:cs="Arial"/>
        </w:rPr>
        <w:t xml:space="preserve"> subsequent spike</w:t>
      </w:r>
      <w:r w:rsidR="5C432A4C" w:rsidRPr="5A4D0C2B">
        <w:rPr>
          <w:rFonts w:cs="Arial"/>
        </w:rPr>
        <w:t xml:space="preserve"> or new </w:t>
      </w:r>
      <w:r w:rsidR="299098DF" w:rsidRPr="5A4D0C2B">
        <w:rPr>
          <w:rFonts w:cs="Arial"/>
        </w:rPr>
        <w:t>variant</w:t>
      </w:r>
      <w:r w:rsidR="5C432A4C" w:rsidRPr="5A4D0C2B">
        <w:rPr>
          <w:rFonts w:cs="Arial"/>
        </w:rPr>
        <w:t xml:space="preserve"> of the </w:t>
      </w:r>
      <w:r w:rsidR="48E5C25C" w:rsidRPr="5A4D0C2B">
        <w:rPr>
          <w:rFonts w:cs="Arial"/>
        </w:rPr>
        <w:t>infection could</w:t>
      </w:r>
      <w:r w:rsidR="005F28BA" w:rsidRPr="5A4D0C2B">
        <w:rPr>
          <w:rFonts w:cs="Arial"/>
        </w:rPr>
        <w:t xml:space="preserve"> lead to further financial pressures </w:t>
      </w:r>
      <w:r w:rsidR="2C418B67" w:rsidRPr="5A4D0C2B">
        <w:rPr>
          <w:rFonts w:cs="Arial"/>
        </w:rPr>
        <w:t>for the</w:t>
      </w:r>
      <w:r w:rsidR="005F28BA" w:rsidRPr="5A4D0C2B">
        <w:rPr>
          <w:rFonts w:cs="Arial"/>
        </w:rPr>
        <w:t xml:space="preserve"> authority.</w:t>
      </w:r>
    </w:p>
    <w:p w14:paraId="2E06C88F" w14:textId="57C1D389" w:rsidR="0046463C" w:rsidRPr="003A755A" w:rsidRDefault="0046463C" w:rsidP="0046463C">
      <w:pPr>
        <w:tabs>
          <w:tab w:val="left" w:pos="567"/>
          <w:tab w:val="left" w:pos="1134"/>
        </w:tabs>
        <w:spacing w:after="0"/>
        <w:rPr>
          <w:rFonts w:cs="Arial"/>
        </w:rPr>
      </w:pPr>
    </w:p>
    <w:p w14:paraId="5548EBE4" w14:textId="77777777" w:rsidR="0046463C" w:rsidRPr="003A755A" w:rsidRDefault="00A854D0" w:rsidP="0046463C">
      <w:pPr>
        <w:tabs>
          <w:tab w:val="left" w:pos="567"/>
          <w:tab w:val="left" w:pos="1134"/>
        </w:tabs>
        <w:spacing w:after="0"/>
        <w:rPr>
          <w:rFonts w:cs="Arial"/>
          <w:b/>
        </w:rPr>
      </w:pPr>
      <w:r w:rsidRPr="0B8C6090">
        <w:rPr>
          <w:rFonts w:cs="Arial"/>
          <w:b/>
        </w:rPr>
        <w:t>5.2 Savings delivery</w:t>
      </w:r>
    </w:p>
    <w:p w14:paraId="788F1AFF" w14:textId="275FCE07" w:rsidR="5A4D0C2B" w:rsidRDefault="5A4D0C2B" w:rsidP="5A4D0C2B">
      <w:pPr>
        <w:tabs>
          <w:tab w:val="left" w:pos="567"/>
          <w:tab w:val="left" w:pos="1134"/>
        </w:tabs>
        <w:spacing w:after="0"/>
        <w:rPr>
          <w:rFonts w:cs="Arial"/>
          <w:b/>
          <w:bCs/>
        </w:rPr>
      </w:pPr>
    </w:p>
    <w:p w14:paraId="6456EE47" w14:textId="69D7C44A" w:rsidR="00991CDF" w:rsidRPr="003A755A" w:rsidRDefault="00A854D0" w:rsidP="00991CDF">
      <w:pPr>
        <w:spacing w:after="0"/>
        <w:rPr>
          <w:rFonts w:cs="Arial"/>
        </w:rPr>
      </w:pPr>
      <w:r w:rsidRPr="0B86641D">
        <w:rPr>
          <w:rFonts w:cs="Arial"/>
        </w:rPr>
        <w:t xml:space="preserve">The scale of savings agreed to be delivered over future financial years remains </w:t>
      </w:r>
      <w:r w:rsidRPr="000B0754">
        <w:rPr>
          <w:rFonts w:cs="Arial"/>
        </w:rPr>
        <w:t xml:space="preserve">significant with </w:t>
      </w:r>
      <w:r w:rsidR="003C2DCF" w:rsidRPr="000B0754">
        <w:rPr>
          <w:rFonts w:cs="Arial"/>
        </w:rPr>
        <w:t>c</w:t>
      </w:r>
      <w:r w:rsidRPr="000B0754">
        <w:rPr>
          <w:rFonts w:cs="Arial"/>
        </w:rPr>
        <w:t>£</w:t>
      </w:r>
      <w:r w:rsidR="003C2DCF" w:rsidRPr="000B0754">
        <w:rPr>
          <w:rFonts w:cs="Arial"/>
        </w:rPr>
        <w:t>20</w:t>
      </w:r>
      <w:r w:rsidRPr="000B0754">
        <w:rPr>
          <w:rFonts w:cs="Arial"/>
        </w:rPr>
        <w:t xml:space="preserve">m </w:t>
      </w:r>
      <w:r w:rsidR="003C2DCF" w:rsidRPr="000B0754">
        <w:rPr>
          <w:rFonts w:cs="Arial"/>
        </w:rPr>
        <w:t xml:space="preserve">budgeted </w:t>
      </w:r>
      <w:r w:rsidRPr="000B0754">
        <w:rPr>
          <w:rFonts w:cs="Arial"/>
        </w:rPr>
        <w:t>to be</w:t>
      </w:r>
      <w:r w:rsidRPr="0B86641D">
        <w:rPr>
          <w:rFonts w:cs="Arial"/>
        </w:rPr>
        <w:t xml:space="preserve"> delivered in 202</w:t>
      </w:r>
      <w:r w:rsidR="4F87F435" w:rsidRPr="0B86641D">
        <w:rPr>
          <w:rFonts w:cs="Arial"/>
        </w:rPr>
        <w:t>2</w:t>
      </w:r>
      <w:r w:rsidRPr="0B86641D">
        <w:rPr>
          <w:rFonts w:cs="Arial"/>
        </w:rPr>
        <w:t>/2</w:t>
      </w:r>
      <w:r w:rsidR="11DB2FE7" w:rsidRPr="0B86641D">
        <w:rPr>
          <w:rFonts w:cs="Arial"/>
        </w:rPr>
        <w:t>3</w:t>
      </w:r>
      <w:r w:rsidRPr="0B86641D">
        <w:rPr>
          <w:rFonts w:cs="Arial"/>
        </w:rPr>
        <w:t xml:space="preserve">. This is a combination of savings that were planned to be delivered in </w:t>
      </w:r>
      <w:r w:rsidR="2E5634AC" w:rsidRPr="0B86641D">
        <w:rPr>
          <w:rFonts w:cs="Arial"/>
        </w:rPr>
        <w:t>earlier years</w:t>
      </w:r>
      <w:r w:rsidRPr="0B86641D">
        <w:rPr>
          <w:rFonts w:cs="Arial"/>
        </w:rPr>
        <w:t xml:space="preserve"> and were delayed due to the pandemic, and the budgeted savings agreed to be removed from the budget in 202</w:t>
      </w:r>
      <w:r w:rsidR="54CC64AF" w:rsidRPr="0B86641D">
        <w:rPr>
          <w:rFonts w:cs="Arial"/>
        </w:rPr>
        <w:t>2</w:t>
      </w:r>
      <w:r w:rsidRPr="0B86641D">
        <w:rPr>
          <w:rFonts w:cs="Arial"/>
        </w:rPr>
        <w:t>/2</w:t>
      </w:r>
      <w:r w:rsidR="5A31CEE4" w:rsidRPr="0B86641D">
        <w:rPr>
          <w:rFonts w:cs="Arial"/>
        </w:rPr>
        <w:t xml:space="preserve">3, </w:t>
      </w:r>
      <w:r w:rsidR="3685FF30" w:rsidRPr="0B86641D">
        <w:rPr>
          <w:rFonts w:cs="Arial"/>
        </w:rPr>
        <w:t xml:space="preserve">which </w:t>
      </w:r>
      <w:r w:rsidR="00A40961" w:rsidRPr="0B86641D">
        <w:rPr>
          <w:rFonts w:cs="Arial"/>
        </w:rPr>
        <w:t>were £</w:t>
      </w:r>
      <w:r w:rsidRPr="0B86641D">
        <w:rPr>
          <w:rFonts w:cs="Arial"/>
        </w:rPr>
        <w:t xml:space="preserve">7.364m. </w:t>
      </w:r>
    </w:p>
    <w:p w14:paraId="1391EDBA" w14:textId="211744FA" w:rsidR="0046463C" w:rsidRDefault="0046463C" w:rsidP="0046463C">
      <w:pPr>
        <w:spacing w:after="0"/>
        <w:rPr>
          <w:rFonts w:cs="Arial"/>
        </w:rPr>
      </w:pPr>
    </w:p>
    <w:p w14:paraId="49027904" w14:textId="4306BFEA" w:rsidR="0046463C" w:rsidRDefault="00A854D0" w:rsidP="0046463C">
      <w:pPr>
        <w:spacing w:after="0"/>
        <w:rPr>
          <w:rFonts w:cs="Arial"/>
        </w:rPr>
      </w:pPr>
      <w:r w:rsidRPr="175EC9AE">
        <w:rPr>
          <w:rFonts w:cs="Arial"/>
        </w:rPr>
        <w:t xml:space="preserve">There are inherent risks in the delivery of any savings programme of this scale, particularly where they are directly linked to reducing the future demand for services. However, there is a strong track record of delivery of </w:t>
      </w:r>
      <w:bookmarkStart w:id="12" w:name="_Int_TSaLaZc2"/>
      <w:r w:rsidRPr="175EC9AE">
        <w:rPr>
          <w:rFonts w:cs="Arial"/>
        </w:rPr>
        <w:t>the vast majority of</w:t>
      </w:r>
      <w:bookmarkEnd w:id="12"/>
      <w:r w:rsidRPr="175EC9AE">
        <w:rPr>
          <w:rFonts w:cs="Arial"/>
        </w:rPr>
        <w:t xml:space="preserve"> previous savings plans and there are comprehensive arrangements in place to track delivery of financial savings and take corrective actions where required. </w:t>
      </w:r>
    </w:p>
    <w:p w14:paraId="74FD5E08" w14:textId="132B7A6B" w:rsidR="008A0162" w:rsidRDefault="008A0162" w:rsidP="0046463C">
      <w:pPr>
        <w:spacing w:after="0"/>
        <w:rPr>
          <w:rFonts w:cs="Arial"/>
        </w:rPr>
      </w:pPr>
    </w:p>
    <w:p w14:paraId="06041F82" w14:textId="67398063" w:rsidR="000B0754" w:rsidRDefault="000B0754" w:rsidP="0046463C">
      <w:pPr>
        <w:spacing w:after="0"/>
        <w:rPr>
          <w:rFonts w:cs="Arial"/>
        </w:rPr>
      </w:pPr>
    </w:p>
    <w:p w14:paraId="23FF3EB7" w14:textId="1215C9C6" w:rsidR="000B0754" w:rsidRDefault="000B0754" w:rsidP="0046463C">
      <w:pPr>
        <w:spacing w:after="0"/>
        <w:rPr>
          <w:rFonts w:cs="Arial"/>
        </w:rPr>
      </w:pPr>
    </w:p>
    <w:p w14:paraId="68EA7BDB" w14:textId="77777777" w:rsidR="000B0754" w:rsidRDefault="000B0754" w:rsidP="0046463C">
      <w:pPr>
        <w:spacing w:after="0"/>
        <w:rPr>
          <w:rFonts w:cs="Arial"/>
        </w:rPr>
      </w:pPr>
    </w:p>
    <w:p w14:paraId="13F2B203" w14:textId="2F9FBD12" w:rsidR="008A0162" w:rsidRDefault="00A854D0" w:rsidP="0046463C">
      <w:pPr>
        <w:spacing w:after="0"/>
        <w:rPr>
          <w:rFonts w:cs="Arial"/>
          <w:b/>
          <w:bCs/>
        </w:rPr>
      </w:pPr>
      <w:r w:rsidRPr="000B0754">
        <w:rPr>
          <w:rFonts w:cs="Arial"/>
          <w:b/>
          <w:bCs/>
        </w:rPr>
        <w:lastRenderedPageBreak/>
        <w:t>5.3 Further savings identification</w:t>
      </w:r>
      <w:r>
        <w:rPr>
          <w:rFonts w:cs="Arial"/>
          <w:b/>
          <w:bCs/>
        </w:rPr>
        <w:t xml:space="preserve"> and delivery</w:t>
      </w:r>
    </w:p>
    <w:p w14:paraId="1E2529EB" w14:textId="12C5CFB3" w:rsidR="008A0162" w:rsidRDefault="008A0162" w:rsidP="0046463C">
      <w:pPr>
        <w:spacing w:after="0"/>
        <w:rPr>
          <w:rFonts w:cs="Arial"/>
          <w:b/>
          <w:bCs/>
        </w:rPr>
      </w:pPr>
    </w:p>
    <w:p w14:paraId="3D090B19" w14:textId="1A705AC0" w:rsidR="008A0162" w:rsidRPr="000B0754" w:rsidRDefault="00A854D0">
      <w:pPr>
        <w:spacing w:after="0"/>
        <w:rPr>
          <w:rFonts w:cs="Arial"/>
        </w:rPr>
      </w:pPr>
      <w:r>
        <w:rPr>
          <w:rFonts w:cs="Arial"/>
        </w:rPr>
        <w:t>W</w:t>
      </w:r>
      <w:r w:rsidRPr="008A0162">
        <w:rPr>
          <w:rFonts w:cs="Arial"/>
        </w:rPr>
        <w:t>ork is progressing on identifying proposals that will reduce the forecast funding gap and the requirement for reserves to support the revenue budget</w:t>
      </w:r>
      <w:r w:rsidR="003C2DCF">
        <w:rPr>
          <w:rFonts w:cs="Arial"/>
        </w:rPr>
        <w:t xml:space="preserve"> over the medium term</w:t>
      </w:r>
      <w:r w:rsidRPr="008A0162">
        <w:rPr>
          <w:rFonts w:cs="Arial"/>
        </w:rPr>
        <w:t xml:space="preserve">.  </w:t>
      </w:r>
      <w:r w:rsidR="003C2DCF">
        <w:rPr>
          <w:rFonts w:cs="Arial"/>
        </w:rPr>
        <w:t>This has involved looking in detail at budget trends over the last 5 years to identify opport</w:t>
      </w:r>
      <w:r>
        <w:rPr>
          <w:rFonts w:cs="Arial"/>
        </w:rPr>
        <w:t>unities for efficiencies</w:t>
      </w:r>
      <w:r w:rsidR="003C2DCF">
        <w:rPr>
          <w:rFonts w:cs="Arial"/>
        </w:rPr>
        <w:t>,</w:t>
      </w:r>
      <w:r>
        <w:rPr>
          <w:rFonts w:cs="Arial"/>
        </w:rPr>
        <w:t xml:space="preserve"> </w:t>
      </w:r>
      <w:r w:rsidR="003C2DCF">
        <w:rPr>
          <w:rFonts w:cs="Arial"/>
        </w:rPr>
        <w:t>focusing activity on areas where our costs benchmark more highly compared to our comparator authorities</w:t>
      </w:r>
      <w:r w:rsidR="000B0754">
        <w:rPr>
          <w:rFonts w:cs="Arial"/>
        </w:rPr>
        <w:t>. This will</w:t>
      </w:r>
      <w:r w:rsidR="003C2DCF">
        <w:rPr>
          <w:rFonts w:cs="Arial"/>
        </w:rPr>
        <w:t xml:space="preserve"> buil</w:t>
      </w:r>
      <w:r w:rsidR="000B0754">
        <w:rPr>
          <w:rFonts w:cs="Arial"/>
        </w:rPr>
        <w:t xml:space="preserve">d </w:t>
      </w:r>
      <w:r w:rsidR="003C2DCF">
        <w:rPr>
          <w:rFonts w:cs="Arial"/>
        </w:rPr>
        <w:t xml:space="preserve">on current work programmes and </w:t>
      </w:r>
      <w:r>
        <w:rPr>
          <w:rFonts w:cs="Arial"/>
        </w:rPr>
        <w:t xml:space="preserve">also </w:t>
      </w:r>
      <w:r w:rsidR="003C2DCF">
        <w:rPr>
          <w:rFonts w:cs="Arial"/>
        </w:rPr>
        <w:t>opportunities with regard to cross-cutting workstream</w:t>
      </w:r>
      <w:r>
        <w:rPr>
          <w:rFonts w:cs="Arial"/>
        </w:rPr>
        <w:t xml:space="preserve">s across the council as whole that are aimed at improving efficiency and reducing cost including process reviews, benefits realisation from change programmes, better use of systems and review of our property portfolio.   </w:t>
      </w:r>
    </w:p>
    <w:p w14:paraId="7EE964EB" w14:textId="77777777" w:rsidR="0046463C" w:rsidRPr="003A755A" w:rsidRDefault="0046463C" w:rsidP="0046463C">
      <w:pPr>
        <w:tabs>
          <w:tab w:val="left" w:pos="567"/>
          <w:tab w:val="left" w:pos="1134"/>
        </w:tabs>
        <w:spacing w:after="0"/>
        <w:rPr>
          <w:rFonts w:cs="Arial"/>
          <w:highlight w:val="yellow"/>
        </w:rPr>
      </w:pPr>
    </w:p>
    <w:p w14:paraId="5AD17CBC" w14:textId="63562681" w:rsidR="0046463C" w:rsidRPr="00895E12" w:rsidRDefault="00A854D0" w:rsidP="0046463C">
      <w:pPr>
        <w:tabs>
          <w:tab w:val="left" w:pos="567"/>
          <w:tab w:val="left" w:pos="1134"/>
        </w:tabs>
        <w:spacing w:after="0"/>
        <w:rPr>
          <w:rFonts w:cs="Arial"/>
          <w:b/>
        </w:rPr>
      </w:pPr>
      <w:r w:rsidRPr="00895E12">
        <w:rPr>
          <w:rFonts w:cs="Arial"/>
          <w:b/>
        </w:rPr>
        <w:t>5.</w:t>
      </w:r>
      <w:r w:rsidR="008A0162">
        <w:rPr>
          <w:rFonts w:cs="Arial"/>
          <w:b/>
        </w:rPr>
        <w:t>4</w:t>
      </w:r>
      <w:r w:rsidRPr="00895E12">
        <w:rPr>
          <w:rFonts w:cs="Arial"/>
          <w:b/>
        </w:rPr>
        <w:t xml:space="preserve"> Business rates retention / changes to funding formula</w:t>
      </w:r>
    </w:p>
    <w:p w14:paraId="31AB31C2" w14:textId="418B6EFE" w:rsidR="0046463C" w:rsidRPr="00895E12" w:rsidRDefault="00A854D0" w:rsidP="0046463C">
      <w:pPr>
        <w:tabs>
          <w:tab w:val="left" w:pos="567"/>
          <w:tab w:val="left" w:pos="1134"/>
        </w:tabs>
        <w:spacing w:after="0"/>
        <w:rPr>
          <w:rFonts w:cs="Arial"/>
        </w:rPr>
      </w:pPr>
      <w:r w:rsidRPr="00895E12">
        <w:rPr>
          <w:rFonts w:cs="Arial"/>
        </w:rPr>
        <w:t xml:space="preserve">As previously explained, the future funding arrangements to be established by government pose a </w:t>
      </w:r>
      <w:r>
        <w:rPr>
          <w:rFonts w:cs="Arial"/>
        </w:rPr>
        <w:t xml:space="preserve">potential </w:t>
      </w:r>
      <w:r w:rsidRPr="00895E12">
        <w:rPr>
          <w:rFonts w:cs="Arial"/>
        </w:rPr>
        <w:t xml:space="preserve">risk to the council. </w:t>
      </w:r>
      <w:r w:rsidR="00BE7B1A" w:rsidRPr="00895E12">
        <w:rPr>
          <w:rFonts w:cs="Arial"/>
        </w:rPr>
        <w:t xml:space="preserve">It is not expected that the new arrangements will come into place until </w:t>
      </w:r>
      <w:r w:rsidR="00781FA3" w:rsidRPr="00895E12">
        <w:rPr>
          <w:rFonts w:cs="Arial"/>
        </w:rPr>
        <w:t>202</w:t>
      </w:r>
      <w:r w:rsidR="00BD6D89">
        <w:rPr>
          <w:rFonts w:cs="Arial"/>
        </w:rPr>
        <w:t>5</w:t>
      </w:r>
      <w:r w:rsidR="00781FA3" w:rsidRPr="00895E12">
        <w:rPr>
          <w:rFonts w:cs="Arial"/>
        </w:rPr>
        <w:t>/2</w:t>
      </w:r>
      <w:r w:rsidR="00BD6D89">
        <w:rPr>
          <w:rFonts w:cs="Arial"/>
        </w:rPr>
        <w:t>6</w:t>
      </w:r>
      <w:r w:rsidR="00BE7B1A" w:rsidRPr="00895E12">
        <w:rPr>
          <w:rFonts w:cs="Arial"/>
        </w:rPr>
        <w:t xml:space="preserve">, a further delay to the previously extended delay, although we await final confirmation of this from the Government. </w:t>
      </w:r>
    </w:p>
    <w:p w14:paraId="0FA0A3D0" w14:textId="77777777" w:rsidR="0046463C" w:rsidRPr="003A755A" w:rsidRDefault="0046463C" w:rsidP="0046463C">
      <w:pPr>
        <w:tabs>
          <w:tab w:val="left" w:pos="567"/>
          <w:tab w:val="left" w:pos="1134"/>
        </w:tabs>
        <w:spacing w:after="0"/>
        <w:rPr>
          <w:rFonts w:cs="Arial"/>
          <w:highlight w:val="yellow"/>
        </w:rPr>
      </w:pPr>
    </w:p>
    <w:p w14:paraId="06458A8A" w14:textId="620D73CD" w:rsidR="00E51811" w:rsidRPr="00895E12" w:rsidRDefault="00A854D0" w:rsidP="0046463C">
      <w:pPr>
        <w:tabs>
          <w:tab w:val="left" w:pos="567"/>
          <w:tab w:val="left" w:pos="1134"/>
        </w:tabs>
        <w:spacing w:after="0"/>
        <w:rPr>
          <w:rFonts w:cs="Arial"/>
        </w:rPr>
      </w:pPr>
      <w:r w:rsidRPr="00895E12">
        <w:rPr>
          <w:rFonts w:cs="Arial"/>
        </w:rPr>
        <w:t xml:space="preserve">As discussed earlier within this report, the changes to the funding formula have been delayed. The outcome from the review may reduce funding below what is assumed in the </w:t>
      </w:r>
      <w:r w:rsidR="009223C2">
        <w:rPr>
          <w:rFonts w:cs="Arial"/>
        </w:rPr>
        <w:t>medium term financial strategy</w:t>
      </w:r>
      <w:r w:rsidRPr="00895E12">
        <w:rPr>
          <w:rFonts w:cs="Arial"/>
        </w:rPr>
        <w:t xml:space="preserve">. Conversely there is equally an opportunity that additional resources are made available through this process. Some supporting professional bodies have indicated that there could be additional funding for Lancashire as part of the fair funding review, but at this stage have indicated their models should be treated with caution due to the lack of information so have not been included in the </w:t>
      </w:r>
      <w:r w:rsidR="009223C2">
        <w:rPr>
          <w:rFonts w:cs="Arial"/>
        </w:rPr>
        <w:t>medium term financial strategy</w:t>
      </w:r>
      <w:r w:rsidR="009223C2" w:rsidRPr="00895E12">
        <w:rPr>
          <w:rFonts w:cs="Arial"/>
        </w:rPr>
        <w:t xml:space="preserve"> </w:t>
      </w:r>
      <w:r w:rsidRPr="00895E12">
        <w:rPr>
          <w:rFonts w:cs="Arial"/>
        </w:rPr>
        <w:t xml:space="preserve">at quarter 1. </w:t>
      </w:r>
    </w:p>
    <w:p w14:paraId="7B5523D9" w14:textId="77777777" w:rsidR="0046463C" w:rsidRPr="003A755A" w:rsidRDefault="0046463C" w:rsidP="0046463C">
      <w:pPr>
        <w:tabs>
          <w:tab w:val="left" w:pos="567"/>
          <w:tab w:val="left" w:pos="1134"/>
        </w:tabs>
        <w:spacing w:after="0"/>
        <w:rPr>
          <w:rFonts w:cs="Arial"/>
          <w:highlight w:val="yellow"/>
        </w:rPr>
      </w:pPr>
    </w:p>
    <w:p w14:paraId="0C4D37FE" w14:textId="7B1009E3" w:rsidR="0046463C" w:rsidRPr="003A755A" w:rsidRDefault="00A854D0" w:rsidP="0046463C">
      <w:pPr>
        <w:tabs>
          <w:tab w:val="left" w:pos="567"/>
          <w:tab w:val="left" w:pos="1134"/>
        </w:tabs>
        <w:spacing w:after="0"/>
        <w:rPr>
          <w:rFonts w:cs="Arial"/>
          <w:b/>
        </w:rPr>
      </w:pPr>
      <w:r w:rsidRPr="0B8C6090">
        <w:rPr>
          <w:rFonts w:cs="Arial"/>
          <w:b/>
        </w:rPr>
        <w:t>5.</w:t>
      </w:r>
      <w:r w:rsidR="008A0162">
        <w:rPr>
          <w:rFonts w:cs="Arial"/>
          <w:b/>
        </w:rPr>
        <w:t>5</w:t>
      </w:r>
      <w:r w:rsidRPr="0B8C6090">
        <w:rPr>
          <w:rFonts w:cs="Arial"/>
          <w:b/>
        </w:rPr>
        <w:t xml:space="preserve"> Children's social care</w:t>
      </w:r>
    </w:p>
    <w:p w14:paraId="6001CC6C" w14:textId="487C0D3C" w:rsidR="00C9152F" w:rsidRDefault="00A854D0" w:rsidP="0046463C">
      <w:pPr>
        <w:tabs>
          <w:tab w:val="left" w:pos="567"/>
          <w:tab w:val="left" w:pos="1134"/>
        </w:tabs>
        <w:spacing w:after="0"/>
        <w:rPr>
          <w:rFonts w:cs="Arial"/>
        </w:rPr>
      </w:pPr>
      <w:r w:rsidRPr="175EC9AE">
        <w:rPr>
          <w:rFonts w:cs="Arial"/>
        </w:rPr>
        <w:t>Children's social care demand levels are forecast to continue to increase</w:t>
      </w:r>
      <w:r w:rsidR="23102987" w:rsidRPr="175EC9AE">
        <w:rPr>
          <w:rFonts w:cs="Arial"/>
        </w:rPr>
        <w:t xml:space="preserve"> and are increasing </w:t>
      </w:r>
      <w:r w:rsidR="43B63079" w:rsidRPr="175EC9AE">
        <w:rPr>
          <w:rFonts w:cs="Arial"/>
        </w:rPr>
        <w:t>nationally</w:t>
      </w:r>
      <w:r w:rsidRPr="175EC9AE">
        <w:rPr>
          <w:rFonts w:cs="Arial"/>
        </w:rPr>
        <w:t xml:space="preserve">, particularly within agency residential placements, agency fostering placements </w:t>
      </w:r>
      <w:bookmarkStart w:id="13" w:name="_Int_v3Jxi18O"/>
      <w:r w:rsidRPr="175EC9AE">
        <w:rPr>
          <w:rFonts w:cs="Arial"/>
        </w:rPr>
        <w:t>and also</w:t>
      </w:r>
      <w:bookmarkEnd w:id="13"/>
      <w:r w:rsidRPr="175EC9AE">
        <w:rPr>
          <w:rFonts w:cs="Arial"/>
        </w:rPr>
        <w:t xml:space="preserve"> special guardianship orders</w:t>
      </w:r>
      <w:r w:rsidR="0BF9F4F4" w:rsidRPr="175EC9AE">
        <w:rPr>
          <w:rFonts w:cs="Arial"/>
        </w:rPr>
        <w:t>.</w:t>
      </w:r>
      <w:r w:rsidR="00BE7B1A" w:rsidRPr="175EC9AE">
        <w:rPr>
          <w:rFonts w:cs="Arial"/>
        </w:rPr>
        <w:t xml:space="preserve"> </w:t>
      </w:r>
      <w:r>
        <w:rPr>
          <w:rFonts w:cs="Arial"/>
        </w:rPr>
        <w:t>This has been reflected in the MTFS at quarter 1 with c£16m included for additional demand anticipated in 2023/24. Although this is a significant increase, this is built on the assumption that demand is half of the current 3 month average and then in future years no additional demand is currently included.</w:t>
      </w:r>
    </w:p>
    <w:p w14:paraId="5A149BB9" w14:textId="63A6FBBF" w:rsidR="00C9152F" w:rsidRDefault="00C9152F" w:rsidP="0046463C">
      <w:pPr>
        <w:tabs>
          <w:tab w:val="left" w:pos="567"/>
          <w:tab w:val="left" w:pos="1134"/>
        </w:tabs>
        <w:spacing w:after="0"/>
        <w:rPr>
          <w:rFonts w:cs="Arial"/>
        </w:rPr>
      </w:pPr>
    </w:p>
    <w:p w14:paraId="1814ABAD" w14:textId="40B22527" w:rsidR="00C9152F" w:rsidRPr="003A755A" w:rsidRDefault="00A854D0" w:rsidP="0046463C">
      <w:pPr>
        <w:tabs>
          <w:tab w:val="left" w:pos="567"/>
          <w:tab w:val="left" w:pos="1134"/>
        </w:tabs>
        <w:spacing w:after="0"/>
        <w:rPr>
          <w:rFonts w:cs="Arial"/>
        </w:rPr>
      </w:pPr>
      <w:r>
        <w:rPr>
          <w:rFonts w:cs="Arial"/>
        </w:rPr>
        <w:t xml:space="preserve">As has been reported in money matters reports over the past few years, there has always been an anticipation that the level of demand could increase due to the impact of latent demand that has not previously presented itself due to the pandemic. </w:t>
      </w:r>
    </w:p>
    <w:p w14:paraId="72ED0079" w14:textId="1811723D" w:rsidR="175EC9AE" w:rsidRDefault="175EC9AE" w:rsidP="175EC9AE">
      <w:pPr>
        <w:tabs>
          <w:tab w:val="left" w:pos="567"/>
          <w:tab w:val="left" w:pos="1134"/>
        </w:tabs>
        <w:spacing w:after="0"/>
        <w:rPr>
          <w:rFonts w:cs="Arial"/>
        </w:rPr>
      </w:pPr>
    </w:p>
    <w:p w14:paraId="511FDFC2" w14:textId="77777777" w:rsidR="0046463C" w:rsidRPr="003A755A" w:rsidRDefault="00A854D0" w:rsidP="0046463C">
      <w:pPr>
        <w:tabs>
          <w:tab w:val="left" w:pos="567"/>
          <w:tab w:val="left" w:pos="1134"/>
        </w:tabs>
        <w:spacing w:after="0"/>
        <w:rPr>
          <w:rFonts w:cs="Arial"/>
        </w:rPr>
      </w:pPr>
      <w:r w:rsidRPr="0B8C6090">
        <w:rPr>
          <w:rFonts w:cs="Arial"/>
        </w:rPr>
        <w:t xml:space="preserve">In addition, the MTFS contains assumptions across services for funding growth, demand, inflation and pay levels. The table below shows the impact of and increase or decrease of 1% over these key elements of the projected budget requirement. </w:t>
      </w:r>
    </w:p>
    <w:p w14:paraId="4ED7EFB1" w14:textId="77777777" w:rsidR="0046463C" w:rsidRPr="003A755A" w:rsidRDefault="0046463C" w:rsidP="0046463C">
      <w:pPr>
        <w:tabs>
          <w:tab w:val="left" w:pos="567"/>
          <w:tab w:val="left" w:pos="1134"/>
        </w:tabs>
        <w:spacing w:after="0"/>
        <w:rPr>
          <w:rFonts w:cs="Arial"/>
          <w:highlight w:val="yellow"/>
        </w:rPr>
      </w:pPr>
    </w:p>
    <w:tbl>
      <w:tblPr>
        <w:tblW w:w="0" w:type="auto"/>
        <w:tblCellMar>
          <w:left w:w="0" w:type="dxa"/>
          <w:right w:w="0" w:type="dxa"/>
        </w:tblCellMar>
        <w:tblLook w:val="04A0" w:firstRow="1" w:lastRow="0" w:firstColumn="1" w:lastColumn="0" w:noHBand="0" w:noVBand="1"/>
      </w:tblPr>
      <w:tblGrid>
        <w:gridCol w:w="5934"/>
        <w:gridCol w:w="3062"/>
      </w:tblGrid>
      <w:tr w:rsidR="006C72FB" w14:paraId="2F9CC133" w14:textId="77777777" w:rsidTr="0046463C">
        <w:tc>
          <w:tcPr>
            <w:tcW w:w="5948"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tcPr>
          <w:p w14:paraId="4D132773" w14:textId="77777777" w:rsidR="0046463C" w:rsidRPr="00F52D45" w:rsidRDefault="0046463C">
            <w:pPr>
              <w:rPr>
                <w:rFonts w:eastAsiaTheme="minorHAnsi" w:cs="Arial"/>
                <w:b/>
                <w:bCs/>
                <w:color w:val="auto"/>
                <w:lang w:eastAsia="en-GB"/>
              </w:rPr>
            </w:pPr>
            <w:bookmarkStart w:id="14" w:name="_Hlk79487241"/>
          </w:p>
        </w:tc>
        <w:tc>
          <w:tcPr>
            <w:tcW w:w="3068" w:type="dxa"/>
            <w:tcBorders>
              <w:top w:val="single" w:sz="8" w:space="0" w:color="auto"/>
              <w:left w:val="nil"/>
              <w:bottom w:val="single" w:sz="8" w:space="0" w:color="auto"/>
              <w:right w:val="single" w:sz="12" w:space="0" w:color="auto"/>
            </w:tcBorders>
            <w:tcMar>
              <w:top w:w="0" w:type="dxa"/>
              <w:left w:w="108" w:type="dxa"/>
              <w:bottom w:w="0" w:type="dxa"/>
              <w:right w:w="108" w:type="dxa"/>
            </w:tcMar>
            <w:hideMark/>
          </w:tcPr>
          <w:p w14:paraId="72DD51EC" w14:textId="77777777" w:rsidR="0046463C" w:rsidRPr="00F52D45" w:rsidRDefault="00A854D0">
            <w:pPr>
              <w:jc w:val="center"/>
              <w:rPr>
                <w:rFonts w:cs="Arial"/>
                <w:lang w:eastAsia="en-GB"/>
              </w:rPr>
            </w:pPr>
            <w:r w:rsidRPr="00F52D45">
              <w:rPr>
                <w:rFonts w:cs="Arial"/>
                <w:lang w:eastAsia="en-GB"/>
              </w:rPr>
              <w:t>Potential Full - Year Impact (£m)</w:t>
            </w:r>
          </w:p>
        </w:tc>
      </w:tr>
      <w:tr w:rsidR="006C72FB" w14:paraId="081E61D3" w14:textId="77777777" w:rsidTr="0046463C">
        <w:tc>
          <w:tcPr>
            <w:tcW w:w="59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2BAC7BC0" w14:textId="77777777" w:rsidR="0046463C" w:rsidRPr="00F52D45" w:rsidRDefault="00A854D0">
            <w:pPr>
              <w:rPr>
                <w:rFonts w:cs="Arial"/>
                <w:lang w:eastAsia="en-GB"/>
              </w:rPr>
            </w:pPr>
            <w:r w:rsidRPr="00F52D45">
              <w:rPr>
                <w:rFonts w:cs="Arial"/>
                <w:lang w:eastAsia="en-GB"/>
              </w:rPr>
              <w:t>Funding - Council Tax (1%)</w:t>
            </w:r>
          </w:p>
        </w:tc>
        <w:tc>
          <w:tcPr>
            <w:tcW w:w="3068" w:type="dxa"/>
            <w:tcBorders>
              <w:top w:val="nil"/>
              <w:left w:val="nil"/>
              <w:bottom w:val="single" w:sz="8" w:space="0" w:color="auto"/>
              <w:right w:val="single" w:sz="12" w:space="0" w:color="auto"/>
            </w:tcBorders>
            <w:tcMar>
              <w:top w:w="0" w:type="dxa"/>
              <w:left w:w="108" w:type="dxa"/>
              <w:bottom w:w="0" w:type="dxa"/>
              <w:right w:w="108" w:type="dxa"/>
            </w:tcMar>
            <w:hideMark/>
          </w:tcPr>
          <w:p w14:paraId="13142D66" w14:textId="4CDE5340" w:rsidR="0046463C" w:rsidRPr="00F52D45" w:rsidRDefault="00A854D0">
            <w:pPr>
              <w:jc w:val="right"/>
              <w:rPr>
                <w:rFonts w:cs="Arial"/>
                <w:lang w:eastAsia="en-GB"/>
              </w:rPr>
            </w:pPr>
            <w:r w:rsidRPr="00F52D45">
              <w:rPr>
                <w:rFonts w:cs="Arial"/>
                <w:lang w:eastAsia="en-GB"/>
              </w:rPr>
              <w:t>+/- 5.</w:t>
            </w:r>
            <w:r w:rsidR="00781FA3" w:rsidRPr="00F52D45">
              <w:rPr>
                <w:rFonts w:cs="Arial"/>
                <w:lang w:eastAsia="en-GB"/>
              </w:rPr>
              <w:t>983</w:t>
            </w:r>
          </w:p>
        </w:tc>
      </w:tr>
      <w:tr w:rsidR="006C72FB" w14:paraId="2D928883" w14:textId="77777777" w:rsidTr="0046463C">
        <w:tc>
          <w:tcPr>
            <w:tcW w:w="59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109B7EDF" w14:textId="77777777" w:rsidR="0046463C" w:rsidRPr="00F52D45" w:rsidRDefault="00A854D0">
            <w:pPr>
              <w:rPr>
                <w:rFonts w:cs="Arial"/>
                <w:lang w:eastAsia="en-GB"/>
              </w:rPr>
            </w:pPr>
            <w:r w:rsidRPr="00F52D45">
              <w:rPr>
                <w:rFonts w:cs="Arial"/>
                <w:lang w:eastAsia="en-GB"/>
              </w:rPr>
              <w:t>Pay (1%)</w:t>
            </w:r>
          </w:p>
        </w:tc>
        <w:tc>
          <w:tcPr>
            <w:tcW w:w="3068" w:type="dxa"/>
            <w:tcBorders>
              <w:top w:val="nil"/>
              <w:left w:val="nil"/>
              <w:bottom w:val="single" w:sz="8" w:space="0" w:color="auto"/>
              <w:right w:val="single" w:sz="12" w:space="0" w:color="auto"/>
            </w:tcBorders>
            <w:tcMar>
              <w:top w:w="0" w:type="dxa"/>
              <w:left w:w="108" w:type="dxa"/>
              <w:bottom w:w="0" w:type="dxa"/>
              <w:right w:w="108" w:type="dxa"/>
            </w:tcMar>
            <w:hideMark/>
          </w:tcPr>
          <w:p w14:paraId="385EF2BA" w14:textId="03BF6539" w:rsidR="0046463C" w:rsidRPr="00F52D45" w:rsidRDefault="00A854D0">
            <w:pPr>
              <w:jc w:val="right"/>
              <w:rPr>
                <w:rFonts w:cs="Arial"/>
                <w:lang w:eastAsia="en-GB"/>
              </w:rPr>
            </w:pPr>
            <w:r w:rsidRPr="00F52D45">
              <w:rPr>
                <w:rFonts w:cs="Arial"/>
                <w:lang w:eastAsia="en-GB"/>
              </w:rPr>
              <w:t xml:space="preserve">+/- </w:t>
            </w:r>
            <w:r w:rsidR="00946BCC" w:rsidRPr="00F52D45">
              <w:rPr>
                <w:rFonts w:cs="Arial"/>
                <w:lang w:eastAsia="en-GB"/>
              </w:rPr>
              <w:t>4.408</w:t>
            </w:r>
          </w:p>
        </w:tc>
      </w:tr>
      <w:tr w:rsidR="006C72FB" w14:paraId="453AFBDC" w14:textId="77777777" w:rsidTr="0046463C">
        <w:tc>
          <w:tcPr>
            <w:tcW w:w="59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698BD33E" w14:textId="77777777" w:rsidR="0046463C" w:rsidRPr="00F52D45" w:rsidRDefault="00A854D0">
            <w:pPr>
              <w:rPr>
                <w:rFonts w:cs="Arial"/>
                <w:lang w:eastAsia="en-GB"/>
              </w:rPr>
            </w:pPr>
            <w:r w:rsidRPr="00F52D45">
              <w:rPr>
                <w:rFonts w:cs="Arial"/>
                <w:lang w:eastAsia="en-GB"/>
              </w:rPr>
              <w:t>Price Inflation (1%)</w:t>
            </w:r>
          </w:p>
        </w:tc>
        <w:tc>
          <w:tcPr>
            <w:tcW w:w="3068" w:type="dxa"/>
            <w:tcBorders>
              <w:top w:val="nil"/>
              <w:left w:val="nil"/>
              <w:bottom w:val="single" w:sz="8" w:space="0" w:color="auto"/>
              <w:right w:val="single" w:sz="12" w:space="0" w:color="auto"/>
            </w:tcBorders>
            <w:tcMar>
              <w:top w:w="0" w:type="dxa"/>
              <w:left w:w="108" w:type="dxa"/>
              <w:bottom w:w="0" w:type="dxa"/>
              <w:right w:w="108" w:type="dxa"/>
            </w:tcMar>
            <w:hideMark/>
          </w:tcPr>
          <w:p w14:paraId="3433E091" w14:textId="764D2A37" w:rsidR="0046463C" w:rsidRPr="00F52D45" w:rsidRDefault="00A854D0">
            <w:pPr>
              <w:jc w:val="right"/>
              <w:rPr>
                <w:rFonts w:cs="Arial"/>
                <w:lang w:eastAsia="en-GB"/>
              </w:rPr>
            </w:pPr>
            <w:r w:rsidRPr="00F52D45">
              <w:rPr>
                <w:rFonts w:cs="Arial"/>
                <w:lang w:eastAsia="en-GB"/>
              </w:rPr>
              <w:t xml:space="preserve">+/- </w:t>
            </w:r>
            <w:r w:rsidR="00F52D45" w:rsidRPr="00F52D45">
              <w:rPr>
                <w:rFonts w:cs="Arial"/>
                <w:lang w:eastAsia="en-GB"/>
              </w:rPr>
              <w:t>7.213</w:t>
            </w:r>
          </w:p>
        </w:tc>
      </w:tr>
      <w:tr w:rsidR="006C72FB" w14:paraId="3B5DD60D" w14:textId="77777777" w:rsidTr="0046463C">
        <w:tc>
          <w:tcPr>
            <w:tcW w:w="5948"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02DCF0F5" w14:textId="77777777" w:rsidR="0046463C" w:rsidRPr="00F52D45" w:rsidRDefault="00A854D0">
            <w:pPr>
              <w:rPr>
                <w:rFonts w:cs="Arial"/>
                <w:lang w:eastAsia="en-GB"/>
              </w:rPr>
            </w:pPr>
            <w:r w:rsidRPr="00F52D45">
              <w:rPr>
                <w:rFonts w:cs="Arial"/>
                <w:lang w:eastAsia="en-GB"/>
              </w:rPr>
              <w:lastRenderedPageBreak/>
              <w:t>Demand (1%)</w:t>
            </w:r>
          </w:p>
        </w:tc>
        <w:tc>
          <w:tcPr>
            <w:tcW w:w="3068" w:type="dxa"/>
            <w:tcBorders>
              <w:top w:val="nil"/>
              <w:left w:val="nil"/>
              <w:bottom w:val="single" w:sz="12" w:space="0" w:color="auto"/>
              <w:right w:val="single" w:sz="12" w:space="0" w:color="auto"/>
            </w:tcBorders>
            <w:tcMar>
              <w:top w:w="0" w:type="dxa"/>
              <w:left w:w="108" w:type="dxa"/>
              <w:bottom w:w="0" w:type="dxa"/>
              <w:right w:w="108" w:type="dxa"/>
            </w:tcMar>
            <w:hideMark/>
          </w:tcPr>
          <w:p w14:paraId="711485CC" w14:textId="26541BDC" w:rsidR="0046463C" w:rsidRPr="00F52D45" w:rsidRDefault="00A854D0">
            <w:pPr>
              <w:jc w:val="right"/>
              <w:rPr>
                <w:rFonts w:cs="Arial"/>
                <w:lang w:eastAsia="en-GB"/>
              </w:rPr>
            </w:pPr>
            <w:r w:rsidRPr="00F52D45">
              <w:rPr>
                <w:rFonts w:cs="Arial"/>
                <w:lang w:eastAsia="en-GB"/>
              </w:rPr>
              <w:t xml:space="preserve">+/- </w:t>
            </w:r>
            <w:r w:rsidR="00F52D45" w:rsidRPr="00F52D45">
              <w:rPr>
                <w:rFonts w:cs="Arial"/>
                <w:lang w:eastAsia="en-GB"/>
              </w:rPr>
              <w:t>5.518</w:t>
            </w:r>
          </w:p>
        </w:tc>
      </w:tr>
      <w:bookmarkEnd w:id="14"/>
    </w:tbl>
    <w:p w14:paraId="038C8F33" w14:textId="77777777" w:rsidR="00BE7B1A" w:rsidRPr="003A755A" w:rsidRDefault="00BE7B1A" w:rsidP="0046463C">
      <w:pPr>
        <w:tabs>
          <w:tab w:val="left" w:pos="567"/>
          <w:tab w:val="left" w:pos="1134"/>
        </w:tabs>
        <w:spacing w:after="0"/>
        <w:rPr>
          <w:rFonts w:cs="Arial"/>
          <w:highlight w:val="yellow"/>
        </w:rPr>
      </w:pPr>
    </w:p>
    <w:p w14:paraId="19E993B5" w14:textId="6016C71D" w:rsidR="0046463C" w:rsidRPr="00A84087" w:rsidRDefault="00A854D0" w:rsidP="0046463C">
      <w:pPr>
        <w:tabs>
          <w:tab w:val="left" w:pos="567"/>
          <w:tab w:val="left" w:pos="1134"/>
        </w:tabs>
        <w:spacing w:after="0"/>
        <w:rPr>
          <w:rFonts w:cs="Arial"/>
        </w:rPr>
      </w:pPr>
      <w:r w:rsidRPr="175EC9AE">
        <w:rPr>
          <w:rFonts w:cs="Arial"/>
        </w:rPr>
        <w:t xml:space="preserve">This stress testing gives confidence that the council can continue to live within its means for the next </w:t>
      </w:r>
      <w:r w:rsidR="00C001DB">
        <w:rPr>
          <w:rFonts w:cs="Arial"/>
        </w:rPr>
        <w:t>year</w:t>
      </w:r>
      <w:r w:rsidRPr="175EC9AE">
        <w:rPr>
          <w:rFonts w:cs="Arial"/>
        </w:rPr>
        <w:t xml:space="preserve"> in adverse circumstances. However, after this period, during the life of the </w:t>
      </w:r>
      <w:r w:rsidR="00C001DB">
        <w:rPr>
          <w:rFonts w:cs="Arial"/>
        </w:rPr>
        <w:t>medium term financial strategy</w:t>
      </w:r>
      <w:r w:rsidR="00C001DB" w:rsidRPr="175EC9AE">
        <w:rPr>
          <w:rFonts w:cs="Arial"/>
        </w:rPr>
        <w:t xml:space="preserve"> </w:t>
      </w:r>
      <w:r w:rsidRPr="175EC9AE">
        <w:rPr>
          <w:rFonts w:cs="Arial"/>
        </w:rPr>
        <w:t xml:space="preserve">significant savings will need to be achieved to ensure the Council has sufficient financial resilience going forward. </w:t>
      </w:r>
    </w:p>
    <w:sectPr w:rsidR="0046463C" w:rsidRPr="00A84087" w:rsidSect="00394CE8">
      <w:pgSz w:w="11906" w:h="16838"/>
      <w:pgMar w:top="1276"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131B" w14:textId="77777777" w:rsidR="0069722B" w:rsidRDefault="00A854D0">
      <w:pPr>
        <w:spacing w:after="0"/>
      </w:pPr>
      <w:r>
        <w:separator/>
      </w:r>
    </w:p>
  </w:endnote>
  <w:endnote w:type="continuationSeparator" w:id="0">
    <w:p w14:paraId="4C515296" w14:textId="77777777" w:rsidR="0069722B" w:rsidRDefault="00A854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08A2" w14:textId="77777777" w:rsidR="00AA77EB" w:rsidRDefault="00AA7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829511"/>
      <w:docPartObj>
        <w:docPartGallery w:val="Page Numbers (Bottom of Page)"/>
        <w:docPartUnique/>
      </w:docPartObj>
    </w:sdtPr>
    <w:sdtEndPr>
      <w:rPr>
        <w:noProof/>
      </w:rPr>
    </w:sdtEndPr>
    <w:sdtContent>
      <w:p w14:paraId="387FCF2D" w14:textId="597352BD" w:rsidR="00AA77EB" w:rsidRDefault="00A854D0" w:rsidP="0046463C">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1A3BB5AF" w14:textId="77777777" w:rsidR="00AA77EB" w:rsidRDefault="00AA77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6D70" w14:textId="77777777" w:rsidR="00AA77EB" w:rsidRDefault="00AA7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3DDAA" w14:textId="77777777" w:rsidR="0069722B" w:rsidRDefault="00A854D0">
      <w:pPr>
        <w:spacing w:after="0"/>
      </w:pPr>
      <w:r>
        <w:separator/>
      </w:r>
    </w:p>
  </w:footnote>
  <w:footnote w:type="continuationSeparator" w:id="0">
    <w:p w14:paraId="07B077D4" w14:textId="77777777" w:rsidR="0069722B" w:rsidRDefault="00A854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FDA1" w14:textId="77777777" w:rsidR="00AA77EB" w:rsidRDefault="00AA7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5E70" w14:textId="2011CA9B" w:rsidR="00AA77EB" w:rsidRDefault="00DC2B33">
    <w:pPr>
      <w:pStyle w:val="Header"/>
    </w:pPr>
    <w:sdt>
      <w:sdtPr>
        <w:id w:val="-2063089987"/>
        <w:docPartObj>
          <w:docPartGallery w:val="Page Numbers (Top of Page)"/>
          <w:docPartUnique/>
        </w:docPartObj>
      </w:sdtPr>
      <w:sdtEndPr>
        <w:rPr>
          <w:noProof/>
        </w:rPr>
      </w:sdtEndPr>
      <w:sdtContent>
        <w:r w:rsidR="005041BF">
          <w:fldChar w:fldCharType="begin"/>
        </w:r>
        <w:r w:rsidR="005041BF">
          <w:instrText xml:space="preserve"> PAGE   \* MERGEFORMAT </w:instrText>
        </w:r>
        <w:r w:rsidR="005041BF">
          <w:fldChar w:fldCharType="separate"/>
        </w:r>
        <w:r w:rsidR="005041BF">
          <w:rPr>
            <w:noProof/>
          </w:rPr>
          <w:t>18</w:t>
        </w:r>
        <w:r w:rsidR="005041BF">
          <w:rPr>
            <w:noProof/>
          </w:rPr>
          <w:fldChar w:fldCharType="end"/>
        </w:r>
      </w:sdtContent>
    </w:sdt>
  </w:p>
  <w:p w14:paraId="0000B473" w14:textId="77777777" w:rsidR="00AA77EB" w:rsidRDefault="00AA77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CEF0" w14:textId="77777777" w:rsidR="00AA77EB" w:rsidRDefault="00A854D0" w:rsidP="0046463C">
    <w:pPr>
      <w:pStyle w:val="Header"/>
    </w:pPr>
    <w:r>
      <w:rPr>
        <w:noProof/>
        <w:lang w:eastAsia="en-GB"/>
      </w:rPr>
      <w:drawing>
        <wp:anchor distT="0" distB="0" distL="114300" distR="114300" simplePos="0" relativeHeight="251658240" behindDoc="1" locked="0" layoutInCell="1" allowOverlap="1" wp14:anchorId="50E17A8F" wp14:editId="75278F85">
          <wp:simplePos x="0" y="0"/>
          <wp:positionH relativeFrom="page">
            <wp:align>left</wp:align>
          </wp:positionH>
          <wp:positionV relativeFrom="paragraph">
            <wp:posOffset>-714375</wp:posOffset>
          </wp:positionV>
          <wp:extent cx="7564755" cy="10689590"/>
          <wp:effectExtent l="0" t="0" r="0" b="0"/>
          <wp:wrapNone/>
          <wp:docPr id="2" name="Picture 1"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79054" name="Picture 1" descr="5085 Report Fro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6BB5AB2"/>
    <w:multiLevelType w:val="hybridMultilevel"/>
    <w:tmpl w:val="432A1498"/>
    <w:lvl w:ilvl="0" w:tplc="F52E9AD6">
      <w:start w:val="1"/>
      <w:numFmt w:val="bullet"/>
      <w:lvlText w:val="o"/>
      <w:lvlJc w:val="left"/>
      <w:pPr>
        <w:ind w:left="1222" w:hanging="360"/>
      </w:pPr>
      <w:rPr>
        <w:rFonts w:ascii="Courier New" w:hAnsi="Courier New" w:cs="Courier New" w:hint="default"/>
      </w:rPr>
    </w:lvl>
    <w:lvl w:ilvl="1" w:tplc="70D8B158" w:tentative="1">
      <w:start w:val="1"/>
      <w:numFmt w:val="bullet"/>
      <w:lvlText w:val="o"/>
      <w:lvlJc w:val="left"/>
      <w:pPr>
        <w:ind w:left="1942" w:hanging="360"/>
      </w:pPr>
      <w:rPr>
        <w:rFonts w:ascii="Courier New" w:hAnsi="Courier New" w:cs="Courier New" w:hint="default"/>
      </w:rPr>
    </w:lvl>
    <w:lvl w:ilvl="2" w:tplc="3254373C" w:tentative="1">
      <w:start w:val="1"/>
      <w:numFmt w:val="bullet"/>
      <w:lvlText w:val=""/>
      <w:lvlJc w:val="left"/>
      <w:pPr>
        <w:ind w:left="2662" w:hanging="360"/>
      </w:pPr>
      <w:rPr>
        <w:rFonts w:ascii="Wingdings" w:hAnsi="Wingdings" w:hint="default"/>
      </w:rPr>
    </w:lvl>
    <w:lvl w:ilvl="3" w:tplc="626AE24C" w:tentative="1">
      <w:start w:val="1"/>
      <w:numFmt w:val="bullet"/>
      <w:lvlText w:val=""/>
      <w:lvlJc w:val="left"/>
      <w:pPr>
        <w:ind w:left="3382" w:hanging="360"/>
      </w:pPr>
      <w:rPr>
        <w:rFonts w:ascii="Symbol" w:hAnsi="Symbol" w:hint="default"/>
      </w:rPr>
    </w:lvl>
    <w:lvl w:ilvl="4" w:tplc="1982EA90" w:tentative="1">
      <w:start w:val="1"/>
      <w:numFmt w:val="bullet"/>
      <w:lvlText w:val="o"/>
      <w:lvlJc w:val="left"/>
      <w:pPr>
        <w:ind w:left="4102" w:hanging="360"/>
      </w:pPr>
      <w:rPr>
        <w:rFonts w:ascii="Courier New" w:hAnsi="Courier New" w:cs="Courier New" w:hint="default"/>
      </w:rPr>
    </w:lvl>
    <w:lvl w:ilvl="5" w:tplc="58BA371C" w:tentative="1">
      <w:start w:val="1"/>
      <w:numFmt w:val="bullet"/>
      <w:lvlText w:val=""/>
      <w:lvlJc w:val="left"/>
      <w:pPr>
        <w:ind w:left="4822" w:hanging="360"/>
      </w:pPr>
      <w:rPr>
        <w:rFonts w:ascii="Wingdings" w:hAnsi="Wingdings" w:hint="default"/>
      </w:rPr>
    </w:lvl>
    <w:lvl w:ilvl="6" w:tplc="976C7AAE" w:tentative="1">
      <w:start w:val="1"/>
      <w:numFmt w:val="bullet"/>
      <w:lvlText w:val=""/>
      <w:lvlJc w:val="left"/>
      <w:pPr>
        <w:ind w:left="5542" w:hanging="360"/>
      </w:pPr>
      <w:rPr>
        <w:rFonts w:ascii="Symbol" w:hAnsi="Symbol" w:hint="default"/>
      </w:rPr>
    </w:lvl>
    <w:lvl w:ilvl="7" w:tplc="E0DCDFBE" w:tentative="1">
      <w:start w:val="1"/>
      <w:numFmt w:val="bullet"/>
      <w:lvlText w:val="o"/>
      <w:lvlJc w:val="left"/>
      <w:pPr>
        <w:ind w:left="6262" w:hanging="360"/>
      </w:pPr>
      <w:rPr>
        <w:rFonts w:ascii="Courier New" w:hAnsi="Courier New" w:cs="Courier New" w:hint="default"/>
      </w:rPr>
    </w:lvl>
    <w:lvl w:ilvl="8" w:tplc="18DC2A62" w:tentative="1">
      <w:start w:val="1"/>
      <w:numFmt w:val="bullet"/>
      <w:lvlText w:val=""/>
      <w:lvlJc w:val="left"/>
      <w:pPr>
        <w:ind w:left="6982" w:hanging="360"/>
      </w:pPr>
      <w:rPr>
        <w:rFonts w:ascii="Wingdings" w:hAnsi="Wingdings" w:hint="default"/>
      </w:rPr>
    </w:lvl>
  </w:abstractNum>
  <w:abstractNum w:abstractNumId="21" w15:restartNumberingAfterBreak="0">
    <w:nsid w:val="073E17C5"/>
    <w:multiLevelType w:val="multilevel"/>
    <w:tmpl w:val="0D92F4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0F306A44"/>
    <w:multiLevelType w:val="hybridMultilevel"/>
    <w:tmpl w:val="DCA42620"/>
    <w:lvl w:ilvl="0" w:tplc="3684D91C">
      <w:numFmt w:val="bullet"/>
      <w:lvlText w:val="-"/>
      <w:lvlJc w:val="left"/>
      <w:pPr>
        <w:ind w:left="644" w:hanging="360"/>
      </w:pPr>
      <w:rPr>
        <w:rFonts w:ascii="Arial" w:eastAsia="Calibri" w:hAnsi="Arial" w:cs="Arial" w:hint="default"/>
      </w:rPr>
    </w:lvl>
    <w:lvl w:ilvl="1" w:tplc="8C563CC2" w:tentative="1">
      <w:start w:val="1"/>
      <w:numFmt w:val="bullet"/>
      <w:lvlText w:val="o"/>
      <w:lvlJc w:val="left"/>
      <w:pPr>
        <w:ind w:left="1440" w:hanging="360"/>
      </w:pPr>
      <w:rPr>
        <w:rFonts w:ascii="Courier New" w:hAnsi="Courier New" w:cs="Courier New" w:hint="default"/>
      </w:rPr>
    </w:lvl>
    <w:lvl w:ilvl="2" w:tplc="2C447680" w:tentative="1">
      <w:start w:val="1"/>
      <w:numFmt w:val="bullet"/>
      <w:lvlText w:val=""/>
      <w:lvlJc w:val="left"/>
      <w:pPr>
        <w:ind w:left="2160" w:hanging="360"/>
      </w:pPr>
      <w:rPr>
        <w:rFonts w:ascii="Wingdings" w:hAnsi="Wingdings" w:hint="default"/>
      </w:rPr>
    </w:lvl>
    <w:lvl w:ilvl="3" w:tplc="9538F684" w:tentative="1">
      <w:start w:val="1"/>
      <w:numFmt w:val="bullet"/>
      <w:lvlText w:val=""/>
      <w:lvlJc w:val="left"/>
      <w:pPr>
        <w:ind w:left="2880" w:hanging="360"/>
      </w:pPr>
      <w:rPr>
        <w:rFonts w:ascii="Symbol" w:hAnsi="Symbol" w:hint="default"/>
      </w:rPr>
    </w:lvl>
    <w:lvl w:ilvl="4" w:tplc="E2F44696" w:tentative="1">
      <w:start w:val="1"/>
      <w:numFmt w:val="bullet"/>
      <w:lvlText w:val="o"/>
      <w:lvlJc w:val="left"/>
      <w:pPr>
        <w:ind w:left="3600" w:hanging="360"/>
      </w:pPr>
      <w:rPr>
        <w:rFonts w:ascii="Courier New" w:hAnsi="Courier New" w:cs="Courier New" w:hint="default"/>
      </w:rPr>
    </w:lvl>
    <w:lvl w:ilvl="5" w:tplc="79983E5A" w:tentative="1">
      <w:start w:val="1"/>
      <w:numFmt w:val="bullet"/>
      <w:lvlText w:val=""/>
      <w:lvlJc w:val="left"/>
      <w:pPr>
        <w:ind w:left="4320" w:hanging="360"/>
      </w:pPr>
      <w:rPr>
        <w:rFonts w:ascii="Wingdings" w:hAnsi="Wingdings" w:hint="default"/>
      </w:rPr>
    </w:lvl>
    <w:lvl w:ilvl="6" w:tplc="5FD86236" w:tentative="1">
      <w:start w:val="1"/>
      <w:numFmt w:val="bullet"/>
      <w:lvlText w:val=""/>
      <w:lvlJc w:val="left"/>
      <w:pPr>
        <w:ind w:left="5040" w:hanging="360"/>
      </w:pPr>
      <w:rPr>
        <w:rFonts w:ascii="Symbol" w:hAnsi="Symbol" w:hint="default"/>
      </w:rPr>
    </w:lvl>
    <w:lvl w:ilvl="7" w:tplc="40A44938" w:tentative="1">
      <w:start w:val="1"/>
      <w:numFmt w:val="bullet"/>
      <w:lvlText w:val="o"/>
      <w:lvlJc w:val="left"/>
      <w:pPr>
        <w:ind w:left="5760" w:hanging="360"/>
      </w:pPr>
      <w:rPr>
        <w:rFonts w:ascii="Courier New" w:hAnsi="Courier New" w:cs="Courier New" w:hint="default"/>
      </w:rPr>
    </w:lvl>
    <w:lvl w:ilvl="8" w:tplc="3E801272" w:tentative="1">
      <w:start w:val="1"/>
      <w:numFmt w:val="bullet"/>
      <w:lvlText w:val=""/>
      <w:lvlJc w:val="left"/>
      <w:pPr>
        <w:ind w:left="6480" w:hanging="360"/>
      </w:pPr>
      <w:rPr>
        <w:rFonts w:ascii="Wingdings" w:hAnsi="Wingdings" w:hint="default"/>
      </w:rPr>
    </w:lvl>
  </w:abstractNum>
  <w:abstractNum w:abstractNumId="23" w15:restartNumberingAfterBreak="0">
    <w:nsid w:val="10C3370D"/>
    <w:multiLevelType w:val="multilevel"/>
    <w:tmpl w:val="7E74B6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7AF4DEE"/>
    <w:multiLevelType w:val="hybridMultilevel"/>
    <w:tmpl w:val="D54672F6"/>
    <w:lvl w:ilvl="0" w:tplc="C1AC53D8">
      <w:start w:val="1"/>
      <w:numFmt w:val="bullet"/>
      <w:lvlText w:val=""/>
      <w:lvlJc w:val="left"/>
      <w:pPr>
        <w:ind w:left="720" w:hanging="360"/>
      </w:pPr>
      <w:rPr>
        <w:rFonts w:ascii="Symbol" w:hAnsi="Symbol" w:hint="default"/>
      </w:rPr>
    </w:lvl>
    <w:lvl w:ilvl="1" w:tplc="0F42CEE8" w:tentative="1">
      <w:start w:val="1"/>
      <w:numFmt w:val="bullet"/>
      <w:lvlText w:val="o"/>
      <w:lvlJc w:val="left"/>
      <w:pPr>
        <w:ind w:left="1440" w:hanging="360"/>
      </w:pPr>
      <w:rPr>
        <w:rFonts w:ascii="Courier New" w:hAnsi="Courier New" w:cs="Courier New" w:hint="default"/>
      </w:rPr>
    </w:lvl>
    <w:lvl w:ilvl="2" w:tplc="31D2B97A" w:tentative="1">
      <w:start w:val="1"/>
      <w:numFmt w:val="bullet"/>
      <w:lvlText w:val=""/>
      <w:lvlJc w:val="left"/>
      <w:pPr>
        <w:ind w:left="2160" w:hanging="360"/>
      </w:pPr>
      <w:rPr>
        <w:rFonts w:ascii="Wingdings" w:hAnsi="Wingdings" w:hint="default"/>
      </w:rPr>
    </w:lvl>
    <w:lvl w:ilvl="3" w:tplc="1B30437C" w:tentative="1">
      <w:start w:val="1"/>
      <w:numFmt w:val="bullet"/>
      <w:lvlText w:val=""/>
      <w:lvlJc w:val="left"/>
      <w:pPr>
        <w:ind w:left="2880" w:hanging="360"/>
      </w:pPr>
      <w:rPr>
        <w:rFonts w:ascii="Symbol" w:hAnsi="Symbol" w:hint="default"/>
      </w:rPr>
    </w:lvl>
    <w:lvl w:ilvl="4" w:tplc="7A823EDA" w:tentative="1">
      <w:start w:val="1"/>
      <w:numFmt w:val="bullet"/>
      <w:lvlText w:val="o"/>
      <w:lvlJc w:val="left"/>
      <w:pPr>
        <w:ind w:left="3600" w:hanging="360"/>
      </w:pPr>
      <w:rPr>
        <w:rFonts w:ascii="Courier New" w:hAnsi="Courier New" w:cs="Courier New" w:hint="default"/>
      </w:rPr>
    </w:lvl>
    <w:lvl w:ilvl="5" w:tplc="8EF0223E" w:tentative="1">
      <w:start w:val="1"/>
      <w:numFmt w:val="bullet"/>
      <w:lvlText w:val=""/>
      <w:lvlJc w:val="left"/>
      <w:pPr>
        <w:ind w:left="4320" w:hanging="360"/>
      </w:pPr>
      <w:rPr>
        <w:rFonts w:ascii="Wingdings" w:hAnsi="Wingdings" w:hint="default"/>
      </w:rPr>
    </w:lvl>
    <w:lvl w:ilvl="6" w:tplc="16340A8A" w:tentative="1">
      <w:start w:val="1"/>
      <w:numFmt w:val="bullet"/>
      <w:lvlText w:val=""/>
      <w:lvlJc w:val="left"/>
      <w:pPr>
        <w:ind w:left="5040" w:hanging="360"/>
      </w:pPr>
      <w:rPr>
        <w:rFonts w:ascii="Symbol" w:hAnsi="Symbol" w:hint="default"/>
      </w:rPr>
    </w:lvl>
    <w:lvl w:ilvl="7" w:tplc="B914A980" w:tentative="1">
      <w:start w:val="1"/>
      <w:numFmt w:val="bullet"/>
      <w:lvlText w:val="o"/>
      <w:lvlJc w:val="left"/>
      <w:pPr>
        <w:ind w:left="5760" w:hanging="360"/>
      </w:pPr>
      <w:rPr>
        <w:rFonts w:ascii="Courier New" w:hAnsi="Courier New" w:cs="Courier New" w:hint="default"/>
      </w:rPr>
    </w:lvl>
    <w:lvl w:ilvl="8" w:tplc="0FCEA5E2" w:tentative="1">
      <w:start w:val="1"/>
      <w:numFmt w:val="bullet"/>
      <w:lvlText w:val=""/>
      <w:lvlJc w:val="left"/>
      <w:pPr>
        <w:ind w:left="6480" w:hanging="360"/>
      </w:pPr>
      <w:rPr>
        <w:rFonts w:ascii="Wingdings" w:hAnsi="Wingdings" w:hint="default"/>
      </w:rPr>
    </w:lvl>
  </w:abstractNum>
  <w:abstractNum w:abstractNumId="25" w15:restartNumberingAfterBreak="0">
    <w:nsid w:val="20117501"/>
    <w:multiLevelType w:val="hybridMultilevel"/>
    <w:tmpl w:val="EF2869F6"/>
    <w:lvl w:ilvl="0" w:tplc="1E1A2E2E">
      <w:start w:val="1"/>
      <w:numFmt w:val="decimal"/>
      <w:lvlText w:val="%1."/>
      <w:lvlJc w:val="left"/>
      <w:pPr>
        <w:ind w:left="720" w:hanging="360"/>
      </w:pPr>
    </w:lvl>
    <w:lvl w:ilvl="1" w:tplc="FF04D922" w:tentative="1">
      <w:start w:val="1"/>
      <w:numFmt w:val="lowerLetter"/>
      <w:lvlText w:val="%2."/>
      <w:lvlJc w:val="left"/>
      <w:pPr>
        <w:ind w:left="1440" w:hanging="360"/>
      </w:pPr>
    </w:lvl>
    <w:lvl w:ilvl="2" w:tplc="84CC1A94" w:tentative="1">
      <w:start w:val="1"/>
      <w:numFmt w:val="lowerRoman"/>
      <w:lvlText w:val="%3."/>
      <w:lvlJc w:val="right"/>
      <w:pPr>
        <w:ind w:left="2160" w:hanging="180"/>
      </w:pPr>
    </w:lvl>
    <w:lvl w:ilvl="3" w:tplc="0306709E" w:tentative="1">
      <w:start w:val="1"/>
      <w:numFmt w:val="decimal"/>
      <w:lvlText w:val="%4."/>
      <w:lvlJc w:val="left"/>
      <w:pPr>
        <w:ind w:left="2880" w:hanging="360"/>
      </w:pPr>
    </w:lvl>
    <w:lvl w:ilvl="4" w:tplc="E8465506" w:tentative="1">
      <w:start w:val="1"/>
      <w:numFmt w:val="lowerLetter"/>
      <w:lvlText w:val="%5."/>
      <w:lvlJc w:val="left"/>
      <w:pPr>
        <w:ind w:left="3600" w:hanging="360"/>
      </w:pPr>
    </w:lvl>
    <w:lvl w:ilvl="5" w:tplc="36607E18" w:tentative="1">
      <w:start w:val="1"/>
      <w:numFmt w:val="lowerRoman"/>
      <w:lvlText w:val="%6."/>
      <w:lvlJc w:val="right"/>
      <w:pPr>
        <w:ind w:left="4320" w:hanging="180"/>
      </w:pPr>
    </w:lvl>
    <w:lvl w:ilvl="6" w:tplc="033C4C54" w:tentative="1">
      <w:start w:val="1"/>
      <w:numFmt w:val="decimal"/>
      <w:lvlText w:val="%7."/>
      <w:lvlJc w:val="left"/>
      <w:pPr>
        <w:ind w:left="5040" w:hanging="360"/>
      </w:pPr>
    </w:lvl>
    <w:lvl w:ilvl="7" w:tplc="A8F89C98" w:tentative="1">
      <w:start w:val="1"/>
      <w:numFmt w:val="lowerLetter"/>
      <w:lvlText w:val="%8."/>
      <w:lvlJc w:val="left"/>
      <w:pPr>
        <w:ind w:left="5760" w:hanging="360"/>
      </w:pPr>
    </w:lvl>
    <w:lvl w:ilvl="8" w:tplc="F2A0727E" w:tentative="1">
      <w:start w:val="1"/>
      <w:numFmt w:val="lowerRoman"/>
      <w:lvlText w:val="%9."/>
      <w:lvlJc w:val="right"/>
      <w:pPr>
        <w:ind w:left="6480" w:hanging="180"/>
      </w:pPr>
    </w:lvl>
  </w:abstractNum>
  <w:abstractNum w:abstractNumId="26" w15:restartNumberingAfterBreak="0">
    <w:nsid w:val="2095304B"/>
    <w:multiLevelType w:val="hybridMultilevel"/>
    <w:tmpl w:val="F63C004C"/>
    <w:lvl w:ilvl="0" w:tplc="BD9CB7B0">
      <w:start w:val="1"/>
      <w:numFmt w:val="bullet"/>
      <w:lvlText w:val="o"/>
      <w:lvlJc w:val="left"/>
      <w:pPr>
        <w:ind w:left="501" w:hanging="360"/>
      </w:pPr>
      <w:rPr>
        <w:rFonts w:ascii="Courier New" w:hAnsi="Courier New" w:cs="Courier New" w:hint="default"/>
      </w:rPr>
    </w:lvl>
    <w:lvl w:ilvl="1" w:tplc="8E2E19F6" w:tentative="1">
      <w:start w:val="1"/>
      <w:numFmt w:val="bullet"/>
      <w:lvlText w:val="o"/>
      <w:lvlJc w:val="left"/>
      <w:pPr>
        <w:ind w:left="1440" w:hanging="360"/>
      </w:pPr>
      <w:rPr>
        <w:rFonts w:ascii="Courier New" w:hAnsi="Courier New" w:cs="Courier New" w:hint="default"/>
      </w:rPr>
    </w:lvl>
    <w:lvl w:ilvl="2" w:tplc="3BFEE586" w:tentative="1">
      <w:start w:val="1"/>
      <w:numFmt w:val="bullet"/>
      <w:lvlText w:val=""/>
      <w:lvlJc w:val="left"/>
      <w:pPr>
        <w:ind w:left="2160" w:hanging="360"/>
      </w:pPr>
      <w:rPr>
        <w:rFonts w:ascii="Wingdings" w:hAnsi="Wingdings" w:hint="default"/>
      </w:rPr>
    </w:lvl>
    <w:lvl w:ilvl="3" w:tplc="C9D446EC" w:tentative="1">
      <w:start w:val="1"/>
      <w:numFmt w:val="bullet"/>
      <w:lvlText w:val=""/>
      <w:lvlJc w:val="left"/>
      <w:pPr>
        <w:ind w:left="2880" w:hanging="360"/>
      </w:pPr>
      <w:rPr>
        <w:rFonts w:ascii="Symbol" w:hAnsi="Symbol" w:hint="default"/>
      </w:rPr>
    </w:lvl>
    <w:lvl w:ilvl="4" w:tplc="414A0F90" w:tentative="1">
      <w:start w:val="1"/>
      <w:numFmt w:val="bullet"/>
      <w:lvlText w:val="o"/>
      <w:lvlJc w:val="left"/>
      <w:pPr>
        <w:ind w:left="3600" w:hanging="360"/>
      </w:pPr>
      <w:rPr>
        <w:rFonts w:ascii="Courier New" w:hAnsi="Courier New" w:cs="Courier New" w:hint="default"/>
      </w:rPr>
    </w:lvl>
    <w:lvl w:ilvl="5" w:tplc="7F461744" w:tentative="1">
      <w:start w:val="1"/>
      <w:numFmt w:val="bullet"/>
      <w:lvlText w:val=""/>
      <w:lvlJc w:val="left"/>
      <w:pPr>
        <w:ind w:left="4320" w:hanging="360"/>
      </w:pPr>
      <w:rPr>
        <w:rFonts w:ascii="Wingdings" w:hAnsi="Wingdings" w:hint="default"/>
      </w:rPr>
    </w:lvl>
    <w:lvl w:ilvl="6" w:tplc="DFCC5870" w:tentative="1">
      <w:start w:val="1"/>
      <w:numFmt w:val="bullet"/>
      <w:lvlText w:val=""/>
      <w:lvlJc w:val="left"/>
      <w:pPr>
        <w:ind w:left="5040" w:hanging="360"/>
      </w:pPr>
      <w:rPr>
        <w:rFonts w:ascii="Symbol" w:hAnsi="Symbol" w:hint="default"/>
      </w:rPr>
    </w:lvl>
    <w:lvl w:ilvl="7" w:tplc="1A741CEC" w:tentative="1">
      <w:start w:val="1"/>
      <w:numFmt w:val="bullet"/>
      <w:lvlText w:val="o"/>
      <w:lvlJc w:val="left"/>
      <w:pPr>
        <w:ind w:left="5760" w:hanging="360"/>
      </w:pPr>
      <w:rPr>
        <w:rFonts w:ascii="Courier New" w:hAnsi="Courier New" w:cs="Courier New" w:hint="default"/>
      </w:rPr>
    </w:lvl>
    <w:lvl w:ilvl="8" w:tplc="FB34B9E2" w:tentative="1">
      <w:start w:val="1"/>
      <w:numFmt w:val="bullet"/>
      <w:lvlText w:val=""/>
      <w:lvlJc w:val="left"/>
      <w:pPr>
        <w:ind w:left="6480" w:hanging="360"/>
      </w:pPr>
      <w:rPr>
        <w:rFonts w:ascii="Wingdings" w:hAnsi="Wingdings" w:hint="default"/>
      </w:rPr>
    </w:lvl>
  </w:abstractNum>
  <w:abstractNum w:abstractNumId="27" w15:restartNumberingAfterBreak="0">
    <w:nsid w:val="32DE378D"/>
    <w:multiLevelType w:val="hybridMultilevel"/>
    <w:tmpl w:val="669255CA"/>
    <w:lvl w:ilvl="0" w:tplc="0D2A5A4C">
      <w:start w:val="1"/>
      <w:numFmt w:val="bullet"/>
      <w:pStyle w:val="Bullet"/>
      <w:lvlText w:val=""/>
      <w:lvlJc w:val="left"/>
      <w:pPr>
        <w:ind w:left="363" w:hanging="360"/>
      </w:pPr>
      <w:rPr>
        <w:rFonts w:ascii="Symbol" w:hAnsi="Symbol" w:hint="default"/>
      </w:rPr>
    </w:lvl>
    <w:lvl w:ilvl="1" w:tplc="9E605F96">
      <w:start w:val="1"/>
      <w:numFmt w:val="bullet"/>
      <w:pStyle w:val="Bullet-indent"/>
      <w:lvlText w:val="o"/>
      <w:lvlJc w:val="left"/>
      <w:pPr>
        <w:ind w:left="1083" w:hanging="360"/>
      </w:pPr>
      <w:rPr>
        <w:rFonts w:ascii="Courier New" w:hAnsi="Courier New" w:cs="Courier New" w:hint="default"/>
      </w:rPr>
    </w:lvl>
    <w:lvl w:ilvl="2" w:tplc="8E5A986E" w:tentative="1">
      <w:start w:val="1"/>
      <w:numFmt w:val="bullet"/>
      <w:lvlText w:val=""/>
      <w:lvlJc w:val="left"/>
      <w:pPr>
        <w:ind w:left="1803" w:hanging="360"/>
      </w:pPr>
      <w:rPr>
        <w:rFonts w:ascii="Wingdings" w:hAnsi="Wingdings" w:hint="default"/>
      </w:rPr>
    </w:lvl>
    <w:lvl w:ilvl="3" w:tplc="44E2E4EE" w:tentative="1">
      <w:start w:val="1"/>
      <w:numFmt w:val="bullet"/>
      <w:lvlText w:val=""/>
      <w:lvlJc w:val="left"/>
      <w:pPr>
        <w:ind w:left="2523" w:hanging="360"/>
      </w:pPr>
      <w:rPr>
        <w:rFonts w:ascii="Symbol" w:hAnsi="Symbol" w:hint="default"/>
      </w:rPr>
    </w:lvl>
    <w:lvl w:ilvl="4" w:tplc="16121192" w:tentative="1">
      <w:start w:val="1"/>
      <w:numFmt w:val="bullet"/>
      <w:lvlText w:val="o"/>
      <w:lvlJc w:val="left"/>
      <w:pPr>
        <w:ind w:left="3243" w:hanging="360"/>
      </w:pPr>
      <w:rPr>
        <w:rFonts w:ascii="Courier New" w:hAnsi="Courier New" w:cs="Courier New" w:hint="default"/>
      </w:rPr>
    </w:lvl>
    <w:lvl w:ilvl="5" w:tplc="574ED4DA" w:tentative="1">
      <w:start w:val="1"/>
      <w:numFmt w:val="bullet"/>
      <w:lvlText w:val=""/>
      <w:lvlJc w:val="left"/>
      <w:pPr>
        <w:ind w:left="3963" w:hanging="360"/>
      </w:pPr>
      <w:rPr>
        <w:rFonts w:ascii="Wingdings" w:hAnsi="Wingdings" w:hint="default"/>
      </w:rPr>
    </w:lvl>
    <w:lvl w:ilvl="6" w:tplc="6B261F1C" w:tentative="1">
      <w:start w:val="1"/>
      <w:numFmt w:val="bullet"/>
      <w:lvlText w:val=""/>
      <w:lvlJc w:val="left"/>
      <w:pPr>
        <w:ind w:left="4683" w:hanging="360"/>
      </w:pPr>
      <w:rPr>
        <w:rFonts w:ascii="Symbol" w:hAnsi="Symbol" w:hint="default"/>
      </w:rPr>
    </w:lvl>
    <w:lvl w:ilvl="7" w:tplc="E6CA7F62" w:tentative="1">
      <w:start w:val="1"/>
      <w:numFmt w:val="bullet"/>
      <w:lvlText w:val="o"/>
      <w:lvlJc w:val="left"/>
      <w:pPr>
        <w:ind w:left="5403" w:hanging="360"/>
      </w:pPr>
      <w:rPr>
        <w:rFonts w:ascii="Courier New" w:hAnsi="Courier New" w:cs="Courier New" w:hint="default"/>
      </w:rPr>
    </w:lvl>
    <w:lvl w:ilvl="8" w:tplc="3EA82E7E" w:tentative="1">
      <w:start w:val="1"/>
      <w:numFmt w:val="bullet"/>
      <w:lvlText w:val=""/>
      <w:lvlJc w:val="left"/>
      <w:pPr>
        <w:ind w:left="6123" w:hanging="360"/>
      </w:pPr>
      <w:rPr>
        <w:rFonts w:ascii="Wingdings" w:hAnsi="Wingdings" w:hint="default"/>
      </w:rPr>
    </w:lvl>
  </w:abstractNum>
  <w:abstractNum w:abstractNumId="28" w15:restartNumberingAfterBreak="0">
    <w:nsid w:val="338E1B06"/>
    <w:multiLevelType w:val="hybridMultilevel"/>
    <w:tmpl w:val="C8C6DC48"/>
    <w:lvl w:ilvl="0" w:tplc="206AF5C6">
      <w:start w:val="1"/>
      <w:numFmt w:val="bullet"/>
      <w:lvlText w:val=""/>
      <w:lvlJc w:val="left"/>
      <w:pPr>
        <w:ind w:left="720" w:hanging="360"/>
      </w:pPr>
      <w:rPr>
        <w:rFonts w:ascii="Symbol" w:hAnsi="Symbol" w:hint="default"/>
      </w:rPr>
    </w:lvl>
    <w:lvl w:ilvl="1" w:tplc="5C98C44A" w:tentative="1">
      <w:start w:val="1"/>
      <w:numFmt w:val="bullet"/>
      <w:lvlText w:val="o"/>
      <w:lvlJc w:val="left"/>
      <w:pPr>
        <w:ind w:left="1440" w:hanging="360"/>
      </w:pPr>
      <w:rPr>
        <w:rFonts w:ascii="Courier New" w:hAnsi="Courier New" w:cs="Courier New" w:hint="default"/>
      </w:rPr>
    </w:lvl>
    <w:lvl w:ilvl="2" w:tplc="E6FAB40C" w:tentative="1">
      <w:start w:val="1"/>
      <w:numFmt w:val="bullet"/>
      <w:lvlText w:val=""/>
      <w:lvlJc w:val="left"/>
      <w:pPr>
        <w:ind w:left="2160" w:hanging="360"/>
      </w:pPr>
      <w:rPr>
        <w:rFonts w:ascii="Wingdings" w:hAnsi="Wingdings" w:hint="default"/>
      </w:rPr>
    </w:lvl>
    <w:lvl w:ilvl="3" w:tplc="D16A48CA" w:tentative="1">
      <w:start w:val="1"/>
      <w:numFmt w:val="bullet"/>
      <w:lvlText w:val=""/>
      <w:lvlJc w:val="left"/>
      <w:pPr>
        <w:ind w:left="2880" w:hanging="360"/>
      </w:pPr>
      <w:rPr>
        <w:rFonts w:ascii="Symbol" w:hAnsi="Symbol" w:hint="default"/>
      </w:rPr>
    </w:lvl>
    <w:lvl w:ilvl="4" w:tplc="01847136" w:tentative="1">
      <w:start w:val="1"/>
      <w:numFmt w:val="bullet"/>
      <w:lvlText w:val="o"/>
      <w:lvlJc w:val="left"/>
      <w:pPr>
        <w:ind w:left="3600" w:hanging="360"/>
      </w:pPr>
      <w:rPr>
        <w:rFonts w:ascii="Courier New" w:hAnsi="Courier New" w:cs="Courier New" w:hint="default"/>
      </w:rPr>
    </w:lvl>
    <w:lvl w:ilvl="5" w:tplc="96EC485E" w:tentative="1">
      <w:start w:val="1"/>
      <w:numFmt w:val="bullet"/>
      <w:lvlText w:val=""/>
      <w:lvlJc w:val="left"/>
      <w:pPr>
        <w:ind w:left="4320" w:hanging="360"/>
      </w:pPr>
      <w:rPr>
        <w:rFonts w:ascii="Wingdings" w:hAnsi="Wingdings" w:hint="default"/>
      </w:rPr>
    </w:lvl>
    <w:lvl w:ilvl="6" w:tplc="93C6B8C0" w:tentative="1">
      <w:start w:val="1"/>
      <w:numFmt w:val="bullet"/>
      <w:lvlText w:val=""/>
      <w:lvlJc w:val="left"/>
      <w:pPr>
        <w:ind w:left="5040" w:hanging="360"/>
      </w:pPr>
      <w:rPr>
        <w:rFonts w:ascii="Symbol" w:hAnsi="Symbol" w:hint="default"/>
      </w:rPr>
    </w:lvl>
    <w:lvl w:ilvl="7" w:tplc="3A285FD4" w:tentative="1">
      <w:start w:val="1"/>
      <w:numFmt w:val="bullet"/>
      <w:lvlText w:val="o"/>
      <w:lvlJc w:val="left"/>
      <w:pPr>
        <w:ind w:left="5760" w:hanging="360"/>
      </w:pPr>
      <w:rPr>
        <w:rFonts w:ascii="Courier New" w:hAnsi="Courier New" w:cs="Courier New" w:hint="default"/>
      </w:rPr>
    </w:lvl>
    <w:lvl w:ilvl="8" w:tplc="A56C9AE6" w:tentative="1">
      <w:start w:val="1"/>
      <w:numFmt w:val="bullet"/>
      <w:lvlText w:val=""/>
      <w:lvlJc w:val="left"/>
      <w:pPr>
        <w:ind w:left="6480" w:hanging="360"/>
      </w:pPr>
      <w:rPr>
        <w:rFonts w:ascii="Wingdings" w:hAnsi="Wingdings" w:hint="default"/>
      </w:rPr>
    </w:lvl>
  </w:abstractNum>
  <w:abstractNum w:abstractNumId="29" w15:restartNumberingAfterBreak="0">
    <w:nsid w:val="37573839"/>
    <w:multiLevelType w:val="hybridMultilevel"/>
    <w:tmpl w:val="5118811A"/>
    <w:lvl w:ilvl="0" w:tplc="47F4CB24">
      <w:start w:val="1"/>
      <w:numFmt w:val="bullet"/>
      <w:lvlText w:val=""/>
      <w:lvlJc w:val="left"/>
      <w:pPr>
        <w:ind w:left="786" w:hanging="360"/>
      </w:pPr>
      <w:rPr>
        <w:rFonts w:ascii="Symbol" w:hAnsi="Symbol" w:hint="default"/>
      </w:rPr>
    </w:lvl>
    <w:lvl w:ilvl="1" w:tplc="B98A9C08" w:tentative="1">
      <w:start w:val="1"/>
      <w:numFmt w:val="bullet"/>
      <w:lvlText w:val="o"/>
      <w:lvlJc w:val="left"/>
      <w:pPr>
        <w:ind w:left="1506" w:hanging="360"/>
      </w:pPr>
      <w:rPr>
        <w:rFonts w:ascii="Courier New" w:hAnsi="Courier New" w:cs="Courier New" w:hint="default"/>
      </w:rPr>
    </w:lvl>
    <w:lvl w:ilvl="2" w:tplc="821042EC" w:tentative="1">
      <w:start w:val="1"/>
      <w:numFmt w:val="bullet"/>
      <w:lvlText w:val=""/>
      <w:lvlJc w:val="left"/>
      <w:pPr>
        <w:ind w:left="2226" w:hanging="360"/>
      </w:pPr>
      <w:rPr>
        <w:rFonts w:ascii="Wingdings" w:hAnsi="Wingdings" w:hint="default"/>
      </w:rPr>
    </w:lvl>
    <w:lvl w:ilvl="3" w:tplc="D9EE3900" w:tentative="1">
      <w:start w:val="1"/>
      <w:numFmt w:val="bullet"/>
      <w:lvlText w:val=""/>
      <w:lvlJc w:val="left"/>
      <w:pPr>
        <w:ind w:left="2946" w:hanging="360"/>
      </w:pPr>
      <w:rPr>
        <w:rFonts w:ascii="Symbol" w:hAnsi="Symbol" w:hint="default"/>
      </w:rPr>
    </w:lvl>
    <w:lvl w:ilvl="4" w:tplc="480EB0D8" w:tentative="1">
      <w:start w:val="1"/>
      <w:numFmt w:val="bullet"/>
      <w:lvlText w:val="o"/>
      <w:lvlJc w:val="left"/>
      <w:pPr>
        <w:ind w:left="3666" w:hanging="360"/>
      </w:pPr>
      <w:rPr>
        <w:rFonts w:ascii="Courier New" w:hAnsi="Courier New" w:cs="Courier New" w:hint="default"/>
      </w:rPr>
    </w:lvl>
    <w:lvl w:ilvl="5" w:tplc="CB6A3B3E" w:tentative="1">
      <w:start w:val="1"/>
      <w:numFmt w:val="bullet"/>
      <w:lvlText w:val=""/>
      <w:lvlJc w:val="left"/>
      <w:pPr>
        <w:ind w:left="4386" w:hanging="360"/>
      </w:pPr>
      <w:rPr>
        <w:rFonts w:ascii="Wingdings" w:hAnsi="Wingdings" w:hint="default"/>
      </w:rPr>
    </w:lvl>
    <w:lvl w:ilvl="6" w:tplc="065662DC" w:tentative="1">
      <w:start w:val="1"/>
      <w:numFmt w:val="bullet"/>
      <w:lvlText w:val=""/>
      <w:lvlJc w:val="left"/>
      <w:pPr>
        <w:ind w:left="5106" w:hanging="360"/>
      </w:pPr>
      <w:rPr>
        <w:rFonts w:ascii="Symbol" w:hAnsi="Symbol" w:hint="default"/>
      </w:rPr>
    </w:lvl>
    <w:lvl w:ilvl="7" w:tplc="F0546626" w:tentative="1">
      <w:start w:val="1"/>
      <w:numFmt w:val="bullet"/>
      <w:lvlText w:val="o"/>
      <w:lvlJc w:val="left"/>
      <w:pPr>
        <w:ind w:left="5826" w:hanging="360"/>
      </w:pPr>
      <w:rPr>
        <w:rFonts w:ascii="Courier New" w:hAnsi="Courier New" w:cs="Courier New" w:hint="default"/>
      </w:rPr>
    </w:lvl>
    <w:lvl w:ilvl="8" w:tplc="2938B638" w:tentative="1">
      <w:start w:val="1"/>
      <w:numFmt w:val="bullet"/>
      <w:lvlText w:val=""/>
      <w:lvlJc w:val="left"/>
      <w:pPr>
        <w:ind w:left="6546" w:hanging="360"/>
      </w:pPr>
      <w:rPr>
        <w:rFonts w:ascii="Wingdings" w:hAnsi="Wingdings" w:hint="default"/>
      </w:rPr>
    </w:lvl>
  </w:abstractNum>
  <w:abstractNum w:abstractNumId="30" w15:restartNumberingAfterBreak="0">
    <w:nsid w:val="398D0E63"/>
    <w:multiLevelType w:val="hybridMultilevel"/>
    <w:tmpl w:val="504838DE"/>
    <w:lvl w:ilvl="0" w:tplc="F48E927C">
      <w:start w:val="1"/>
      <w:numFmt w:val="bullet"/>
      <w:lvlText w:val=""/>
      <w:lvlJc w:val="left"/>
      <w:pPr>
        <w:ind w:left="1440" w:hanging="360"/>
      </w:pPr>
      <w:rPr>
        <w:rFonts w:ascii="Symbol" w:hAnsi="Symbol" w:hint="default"/>
      </w:rPr>
    </w:lvl>
    <w:lvl w:ilvl="1" w:tplc="3A542E8C" w:tentative="1">
      <w:start w:val="1"/>
      <w:numFmt w:val="bullet"/>
      <w:lvlText w:val="o"/>
      <w:lvlJc w:val="left"/>
      <w:pPr>
        <w:ind w:left="2160" w:hanging="360"/>
      </w:pPr>
      <w:rPr>
        <w:rFonts w:ascii="Courier New" w:hAnsi="Courier New" w:cs="Courier New" w:hint="default"/>
      </w:rPr>
    </w:lvl>
    <w:lvl w:ilvl="2" w:tplc="2FCCFD0E" w:tentative="1">
      <w:start w:val="1"/>
      <w:numFmt w:val="bullet"/>
      <w:lvlText w:val=""/>
      <w:lvlJc w:val="left"/>
      <w:pPr>
        <w:ind w:left="2880" w:hanging="360"/>
      </w:pPr>
      <w:rPr>
        <w:rFonts w:ascii="Wingdings" w:hAnsi="Wingdings" w:hint="default"/>
      </w:rPr>
    </w:lvl>
    <w:lvl w:ilvl="3" w:tplc="B68A7F90" w:tentative="1">
      <w:start w:val="1"/>
      <w:numFmt w:val="bullet"/>
      <w:lvlText w:val=""/>
      <w:lvlJc w:val="left"/>
      <w:pPr>
        <w:ind w:left="3600" w:hanging="360"/>
      </w:pPr>
      <w:rPr>
        <w:rFonts w:ascii="Symbol" w:hAnsi="Symbol" w:hint="default"/>
      </w:rPr>
    </w:lvl>
    <w:lvl w:ilvl="4" w:tplc="4EF68FF2" w:tentative="1">
      <w:start w:val="1"/>
      <w:numFmt w:val="bullet"/>
      <w:lvlText w:val="o"/>
      <w:lvlJc w:val="left"/>
      <w:pPr>
        <w:ind w:left="4320" w:hanging="360"/>
      </w:pPr>
      <w:rPr>
        <w:rFonts w:ascii="Courier New" w:hAnsi="Courier New" w:cs="Courier New" w:hint="default"/>
      </w:rPr>
    </w:lvl>
    <w:lvl w:ilvl="5" w:tplc="C0FE755C" w:tentative="1">
      <w:start w:val="1"/>
      <w:numFmt w:val="bullet"/>
      <w:lvlText w:val=""/>
      <w:lvlJc w:val="left"/>
      <w:pPr>
        <w:ind w:left="5040" w:hanging="360"/>
      </w:pPr>
      <w:rPr>
        <w:rFonts w:ascii="Wingdings" w:hAnsi="Wingdings" w:hint="default"/>
      </w:rPr>
    </w:lvl>
    <w:lvl w:ilvl="6" w:tplc="E1C24D62" w:tentative="1">
      <w:start w:val="1"/>
      <w:numFmt w:val="bullet"/>
      <w:lvlText w:val=""/>
      <w:lvlJc w:val="left"/>
      <w:pPr>
        <w:ind w:left="5760" w:hanging="360"/>
      </w:pPr>
      <w:rPr>
        <w:rFonts w:ascii="Symbol" w:hAnsi="Symbol" w:hint="default"/>
      </w:rPr>
    </w:lvl>
    <w:lvl w:ilvl="7" w:tplc="22961AF2" w:tentative="1">
      <w:start w:val="1"/>
      <w:numFmt w:val="bullet"/>
      <w:lvlText w:val="o"/>
      <w:lvlJc w:val="left"/>
      <w:pPr>
        <w:ind w:left="6480" w:hanging="360"/>
      </w:pPr>
      <w:rPr>
        <w:rFonts w:ascii="Courier New" w:hAnsi="Courier New" w:cs="Courier New" w:hint="default"/>
      </w:rPr>
    </w:lvl>
    <w:lvl w:ilvl="8" w:tplc="04B27752" w:tentative="1">
      <w:start w:val="1"/>
      <w:numFmt w:val="bullet"/>
      <w:lvlText w:val=""/>
      <w:lvlJc w:val="left"/>
      <w:pPr>
        <w:ind w:left="7200" w:hanging="360"/>
      </w:pPr>
      <w:rPr>
        <w:rFonts w:ascii="Wingdings" w:hAnsi="Wingdings" w:hint="default"/>
      </w:rPr>
    </w:lvl>
  </w:abstractNum>
  <w:abstractNum w:abstractNumId="31" w15:restartNumberingAfterBreak="0">
    <w:nsid w:val="3CD21179"/>
    <w:multiLevelType w:val="hybridMultilevel"/>
    <w:tmpl w:val="FC2CECA6"/>
    <w:lvl w:ilvl="0" w:tplc="CD2EF056">
      <w:start w:val="1"/>
      <w:numFmt w:val="bullet"/>
      <w:lvlText w:val=""/>
      <w:lvlJc w:val="left"/>
      <w:pPr>
        <w:ind w:left="720" w:hanging="360"/>
      </w:pPr>
      <w:rPr>
        <w:rFonts w:ascii="Symbol" w:hAnsi="Symbol" w:hint="default"/>
      </w:rPr>
    </w:lvl>
    <w:lvl w:ilvl="1" w:tplc="A60235C4">
      <w:start w:val="1"/>
      <w:numFmt w:val="bullet"/>
      <w:lvlText w:val="o"/>
      <w:lvlJc w:val="left"/>
      <w:pPr>
        <w:ind w:left="1353" w:hanging="360"/>
      </w:pPr>
      <w:rPr>
        <w:rFonts w:ascii="Courier New" w:hAnsi="Courier New" w:cs="Courier New" w:hint="default"/>
      </w:rPr>
    </w:lvl>
    <w:lvl w:ilvl="2" w:tplc="0AFEED98">
      <w:start w:val="1"/>
      <w:numFmt w:val="bullet"/>
      <w:lvlText w:val=""/>
      <w:lvlJc w:val="left"/>
      <w:pPr>
        <w:ind w:left="2160" w:hanging="360"/>
      </w:pPr>
      <w:rPr>
        <w:rFonts w:ascii="Wingdings" w:hAnsi="Wingdings" w:hint="default"/>
      </w:rPr>
    </w:lvl>
    <w:lvl w:ilvl="3" w:tplc="8A00BB7E" w:tentative="1">
      <w:start w:val="1"/>
      <w:numFmt w:val="bullet"/>
      <w:lvlText w:val=""/>
      <w:lvlJc w:val="left"/>
      <w:pPr>
        <w:ind w:left="2880" w:hanging="360"/>
      </w:pPr>
      <w:rPr>
        <w:rFonts w:ascii="Symbol" w:hAnsi="Symbol" w:hint="default"/>
      </w:rPr>
    </w:lvl>
    <w:lvl w:ilvl="4" w:tplc="754A1BF8" w:tentative="1">
      <w:start w:val="1"/>
      <w:numFmt w:val="bullet"/>
      <w:lvlText w:val="o"/>
      <w:lvlJc w:val="left"/>
      <w:pPr>
        <w:ind w:left="3600" w:hanging="360"/>
      </w:pPr>
      <w:rPr>
        <w:rFonts w:ascii="Courier New" w:hAnsi="Courier New" w:cs="Courier New" w:hint="default"/>
      </w:rPr>
    </w:lvl>
    <w:lvl w:ilvl="5" w:tplc="7B469D4E" w:tentative="1">
      <w:start w:val="1"/>
      <w:numFmt w:val="bullet"/>
      <w:lvlText w:val=""/>
      <w:lvlJc w:val="left"/>
      <w:pPr>
        <w:ind w:left="4320" w:hanging="360"/>
      </w:pPr>
      <w:rPr>
        <w:rFonts w:ascii="Wingdings" w:hAnsi="Wingdings" w:hint="default"/>
      </w:rPr>
    </w:lvl>
    <w:lvl w:ilvl="6" w:tplc="36444688" w:tentative="1">
      <w:start w:val="1"/>
      <w:numFmt w:val="bullet"/>
      <w:lvlText w:val=""/>
      <w:lvlJc w:val="left"/>
      <w:pPr>
        <w:ind w:left="5040" w:hanging="360"/>
      </w:pPr>
      <w:rPr>
        <w:rFonts w:ascii="Symbol" w:hAnsi="Symbol" w:hint="default"/>
      </w:rPr>
    </w:lvl>
    <w:lvl w:ilvl="7" w:tplc="231AF11C" w:tentative="1">
      <w:start w:val="1"/>
      <w:numFmt w:val="bullet"/>
      <w:lvlText w:val="o"/>
      <w:lvlJc w:val="left"/>
      <w:pPr>
        <w:ind w:left="5760" w:hanging="360"/>
      </w:pPr>
      <w:rPr>
        <w:rFonts w:ascii="Courier New" w:hAnsi="Courier New" w:cs="Courier New" w:hint="default"/>
      </w:rPr>
    </w:lvl>
    <w:lvl w:ilvl="8" w:tplc="79FE644E" w:tentative="1">
      <w:start w:val="1"/>
      <w:numFmt w:val="bullet"/>
      <w:lvlText w:val=""/>
      <w:lvlJc w:val="left"/>
      <w:pPr>
        <w:ind w:left="6480" w:hanging="360"/>
      </w:pPr>
      <w:rPr>
        <w:rFonts w:ascii="Wingdings" w:hAnsi="Wingdings" w:hint="default"/>
      </w:rPr>
    </w:lvl>
  </w:abstractNum>
  <w:abstractNum w:abstractNumId="32" w15:restartNumberingAfterBreak="0">
    <w:nsid w:val="420860A3"/>
    <w:multiLevelType w:val="hybridMultilevel"/>
    <w:tmpl w:val="2DF6A548"/>
    <w:lvl w:ilvl="0" w:tplc="050A8CB8">
      <w:start w:val="1"/>
      <w:numFmt w:val="decimal"/>
      <w:pStyle w:val="Heading2-numbered"/>
      <w:lvlText w:val="%1."/>
      <w:lvlJc w:val="left"/>
      <w:pPr>
        <w:ind w:left="360" w:hanging="360"/>
      </w:pPr>
    </w:lvl>
    <w:lvl w:ilvl="1" w:tplc="DDDCD49E" w:tentative="1">
      <w:start w:val="1"/>
      <w:numFmt w:val="lowerLetter"/>
      <w:lvlText w:val="%2."/>
      <w:lvlJc w:val="left"/>
      <w:pPr>
        <w:ind w:left="1080" w:hanging="360"/>
      </w:pPr>
    </w:lvl>
    <w:lvl w:ilvl="2" w:tplc="4EC8E3EC" w:tentative="1">
      <w:start w:val="1"/>
      <w:numFmt w:val="lowerRoman"/>
      <w:lvlText w:val="%3."/>
      <w:lvlJc w:val="right"/>
      <w:pPr>
        <w:ind w:left="1800" w:hanging="180"/>
      </w:pPr>
    </w:lvl>
    <w:lvl w:ilvl="3" w:tplc="6FA225FA" w:tentative="1">
      <w:start w:val="1"/>
      <w:numFmt w:val="decimal"/>
      <w:lvlText w:val="%4."/>
      <w:lvlJc w:val="left"/>
      <w:pPr>
        <w:ind w:left="2520" w:hanging="360"/>
      </w:pPr>
    </w:lvl>
    <w:lvl w:ilvl="4" w:tplc="751AC064" w:tentative="1">
      <w:start w:val="1"/>
      <w:numFmt w:val="lowerLetter"/>
      <w:lvlText w:val="%5."/>
      <w:lvlJc w:val="left"/>
      <w:pPr>
        <w:ind w:left="3240" w:hanging="360"/>
      </w:pPr>
    </w:lvl>
    <w:lvl w:ilvl="5" w:tplc="2FC88434" w:tentative="1">
      <w:start w:val="1"/>
      <w:numFmt w:val="lowerRoman"/>
      <w:lvlText w:val="%6."/>
      <w:lvlJc w:val="right"/>
      <w:pPr>
        <w:ind w:left="3960" w:hanging="180"/>
      </w:pPr>
    </w:lvl>
    <w:lvl w:ilvl="6" w:tplc="41DAA800" w:tentative="1">
      <w:start w:val="1"/>
      <w:numFmt w:val="decimal"/>
      <w:lvlText w:val="%7."/>
      <w:lvlJc w:val="left"/>
      <w:pPr>
        <w:ind w:left="4680" w:hanging="360"/>
      </w:pPr>
    </w:lvl>
    <w:lvl w:ilvl="7" w:tplc="9AC04746" w:tentative="1">
      <w:start w:val="1"/>
      <w:numFmt w:val="lowerLetter"/>
      <w:lvlText w:val="%8."/>
      <w:lvlJc w:val="left"/>
      <w:pPr>
        <w:ind w:left="5400" w:hanging="360"/>
      </w:pPr>
    </w:lvl>
    <w:lvl w:ilvl="8" w:tplc="B038FDB8" w:tentative="1">
      <w:start w:val="1"/>
      <w:numFmt w:val="lowerRoman"/>
      <w:lvlText w:val="%9."/>
      <w:lvlJc w:val="right"/>
      <w:pPr>
        <w:ind w:left="6120" w:hanging="180"/>
      </w:pPr>
    </w:lvl>
  </w:abstractNum>
  <w:abstractNum w:abstractNumId="33" w15:restartNumberingAfterBreak="0">
    <w:nsid w:val="489A01B5"/>
    <w:multiLevelType w:val="hybridMultilevel"/>
    <w:tmpl w:val="4008D5EE"/>
    <w:lvl w:ilvl="0" w:tplc="4964F75A">
      <w:start w:val="1"/>
      <w:numFmt w:val="bullet"/>
      <w:lvlText w:val=""/>
      <w:lvlJc w:val="left"/>
      <w:pPr>
        <w:ind w:left="720" w:hanging="360"/>
      </w:pPr>
      <w:rPr>
        <w:rFonts w:ascii="Symbol" w:hAnsi="Symbol" w:hint="default"/>
      </w:rPr>
    </w:lvl>
    <w:lvl w:ilvl="1" w:tplc="F9E8F50A" w:tentative="1">
      <w:start w:val="1"/>
      <w:numFmt w:val="bullet"/>
      <w:lvlText w:val="o"/>
      <w:lvlJc w:val="left"/>
      <w:pPr>
        <w:ind w:left="1440" w:hanging="360"/>
      </w:pPr>
      <w:rPr>
        <w:rFonts w:ascii="Courier New" w:hAnsi="Courier New" w:cs="Courier New" w:hint="default"/>
      </w:rPr>
    </w:lvl>
    <w:lvl w:ilvl="2" w:tplc="0B9EFF52" w:tentative="1">
      <w:start w:val="1"/>
      <w:numFmt w:val="bullet"/>
      <w:lvlText w:val=""/>
      <w:lvlJc w:val="left"/>
      <w:pPr>
        <w:ind w:left="2160" w:hanging="360"/>
      </w:pPr>
      <w:rPr>
        <w:rFonts w:ascii="Wingdings" w:hAnsi="Wingdings" w:hint="default"/>
      </w:rPr>
    </w:lvl>
    <w:lvl w:ilvl="3" w:tplc="97EEF7A4" w:tentative="1">
      <w:start w:val="1"/>
      <w:numFmt w:val="bullet"/>
      <w:lvlText w:val=""/>
      <w:lvlJc w:val="left"/>
      <w:pPr>
        <w:ind w:left="2880" w:hanging="360"/>
      </w:pPr>
      <w:rPr>
        <w:rFonts w:ascii="Symbol" w:hAnsi="Symbol" w:hint="default"/>
      </w:rPr>
    </w:lvl>
    <w:lvl w:ilvl="4" w:tplc="0B04DCE4" w:tentative="1">
      <w:start w:val="1"/>
      <w:numFmt w:val="bullet"/>
      <w:lvlText w:val="o"/>
      <w:lvlJc w:val="left"/>
      <w:pPr>
        <w:ind w:left="3600" w:hanging="360"/>
      </w:pPr>
      <w:rPr>
        <w:rFonts w:ascii="Courier New" w:hAnsi="Courier New" w:cs="Courier New" w:hint="default"/>
      </w:rPr>
    </w:lvl>
    <w:lvl w:ilvl="5" w:tplc="94003872" w:tentative="1">
      <w:start w:val="1"/>
      <w:numFmt w:val="bullet"/>
      <w:lvlText w:val=""/>
      <w:lvlJc w:val="left"/>
      <w:pPr>
        <w:ind w:left="4320" w:hanging="360"/>
      </w:pPr>
      <w:rPr>
        <w:rFonts w:ascii="Wingdings" w:hAnsi="Wingdings" w:hint="default"/>
      </w:rPr>
    </w:lvl>
    <w:lvl w:ilvl="6" w:tplc="C68A15EC" w:tentative="1">
      <w:start w:val="1"/>
      <w:numFmt w:val="bullet"/>
      <w:lvlText w:val=""/>
      <w:lvlJc w:val="left"/>
      <w:pPr>
        <w:ind w:left="5040" w:hanging="360"/>
      </w:pPr>
      <w:rPr>
        <w:rFonts w:ascii="Symbol" w:hAnsi="Symbol" w:hint="default"/>
      </w:rPr>
    </w:lvl>
    <w:lvl w:ilvl="7" w:tplc="6130E51A" w:tentative="1">
      <w:start w:val="1"/>
      <w:numFmt w:val="bullet"/>
      <w:lvlText w:val="o"/>
      <w:lvlJc w:val="left"/>
      <w:pPr>
        <w:ind w:left="5760" w:hanging="360"/>
      </w:pPr>
      <w:rPr>
        <w:rFonts w:ascii="Courier New" w:hAnsi="Courier New" w:cs="Courier New" w:hint="default"/>
      </w:rPr>
    </w:lvl>
    <w:lvl w:ilvl="8" w:tplc="C43831D4" w:tentative="1">
      <w:start w:val="1"/>
      <w:numFmt w:val="bullet"/>
      <w:lvlText w:val=""/>
      <w:lvlJc w:val="left"/>
      <w:pPr>
        <w:ind w:left="6480" w:hanging="360"/>
      </w:pPr>
      <w:rPr>
        <w:rFonts w:ascii="Wingdings" w:hAnsi="Wingdings" w:hint="default"/>
      </w:rPr>
    </w:lvl>
  </w:abstractNum>
  <w:abstractNum w:abstractNumId="34" w15:restartNumberingAfterBreak="0">
    <w:nsid w:val="4E097B18"/>
    <w:multiLevelType w:val="hybridMultilevel"/>
    <w:tmpl w:val="4A8A06F0"/>
    <w:lvl w:ilvl="0" w:tplc="FF30A208">
      <w:start w:val="1"/>
      <w:numFmt w:val="bullet"/>
      <w:lvlText w:val=""/>
      <w:lvlJc w:val="left"/>
      <w:pPr>
        <w:ind w:left="720" w:hanging="360"/>
      </w:pPr>
      <w:rPr>
        <w:rFonts w:ascii="Symbol" w:hAnsi="Symbol" w:hint="default"/>
      </w:rPr>
    </w:lvl>
    <w:lvl w:ilvl="1" w:tplc="B4247F1C" w:tentative="1">
      <w:start w:val="1"/>
      <w:numFmt w:val="bullet"/>
      <w:lvlText w:val="o"/>
      <w:lvlJc w:val="left"/>
      <w:pPr>
        <w:ind w:left="1440" w:hanging="360"/>
      </w:pPr>
      <w:rPr>
        <w:rFonts w:ascii="Courier New" w:hAnsi="Courier New" w:cs="Courier New" w:hint="default"/>
      </w:rPr>
    </w:lvl>
    <w:lvl w:ilvl="2" w:tplc="DF684F24" w:tentative="1">
      <w:start w:val="1"/>
      <w:numFmt w:val="bullet"/>
      <w:lvlText w:val=""/>
      <w:lvlJc w:val="left"/>
      <w:pPr>
        <w:ind w:left="2160" w:hanging="360"/>
      </w:pPr>
      <w:rPr>
        <w:rFonts w:ascii="Wingdings" w:hAnsi="Wingdings" w:hint="default"/>
      </w:rPr>
    </w:lvl>
    <w:lvl w:ilvl="3" w:tplc="867EF084" w:tentative="1">
      <w:start w:val="1"/>
      <w:numFmt w:val="bullet"/>
      <w:lvlText w:val=""/>
      <w:lvlJc w:val="left"/>
      <w:pPr>
        <w:ind w:left="2880" w:hanging="360"/>
      </w:pPr>
      <w:rPr>
        <w:rFonts w:ascii="Symbol" w:hAnsi="Symbol" w:hint="default"/>
      </w:rPr>
    </w:lvl>
    <w:lvl w:ilvl="4" w:tplc="AEE28BF8" w:tentative="1">
      <w:start w:val="1"/>
      <w:numFmt w:val="bullet"/>
      <w:lvlText w:val="o"/>
      <w:lvlJc w:val="left"/>
      <w:pPr>
        <w:ind w:left="3600" w:hanging="360"/>
      </w:pPr>
      <w:rPr>
        <w:rFonts w:ascii="Courier New" w:hAnsi="Courier New" w:cs="Courier New" w:hint="default"/>
      </w:rPr>
    </w:lvl>
    <w:lvl w:ilvl="5" w:tplc="3CDC1320" w:tentative="1">
      <w:start w:val="1"/>
      <w:numFmt w:val="bullet"/>
      <w:lvlText w:val=""/>
      <w:lvlJc w:val="left"/>
      <w:pPr>
        <w:ind w:left="4320" w:hanging="360"/>
      </w:pPr>
      <w:rPr>
        <w:rFonts w:ascii="Wingdings" w:hAnsi="Wingdings" w:hint="default"/>
      </w:rPr>
    </w:lvl>
    <w:lvl w:ilvl="6" w:tplc="32C8719C" w:tentative="1">
      <w:start w:val="1"/>
      <w:numFmt w:val="bullet"/>
      <w:lvlText w:val=""/>
      <w:lvlJc w:val="left"/>
      <w:pPr>
        <w:ind w:left="5040" w:hanging="360"/>
      </w:pPr>
      <w:rPr>
        <w:rFonts w:ascii="Symbol" w:hAnsi="Symbol" w:hint="default"/>
      </w:rPr>
    </w:lvl>
    <w:lvl w:ilvl="7" w:tplc="EE1E8EAC" w:tentative="1">
      <w:start w:val="1"/>
      <w:numFmt w:val="bullet"/>
      <w:lvlText w:val="o"/>
      <w:lvlJc w:val="left"/>
      <w:pPr>
        <w:ind w:left="5760" w:hanging="360"/>
      </w:pPr>
      <w:rPr>
        <w:rFonts w:ascii="Courier New" w:hAnsi="Courier New" w:cs="Courier New" w:hint="default"/>
      </w:rPr>
    </w:lvl>
    <w:lvl w:ilvl="8" w:tplc="ECA8AC2E" w:tentative="1">
      <w:start w:val="1"/>
      <w:numFmt w:val="bullet"/>
      <w:lvlText w:val=""/>
      <w:lvlJc w:val="left"/>
      <w:pPr>
        <w:ind w:left="6480" w:hanging="360"/>
      </w:pPr>
      <w:rPr>
        <w:rFonts w:ascii="Wingdings" w:hAnsi="Wingdings" w:hint="default"/>
      </w:rPr>
    </w:lvl>
  </w:abstractNum>
  <w:abstractNum w:abstractNumId="35" w15:restartNumberingAfterBreak="0">
    <w:nsid w:val="5089630A"/>
    <w:multiLevelType w:val="hybridMultilevel"/>
    <w:tmpl w:val="325691BA"/>
    <w:lvl w:ilvl="0" w:tplc="E8E675D0">
      <w:start w:val="1"/>
      <w:numFmt w:val="bullet"/>
      <w:lvlText w:val=""/>
      <w:lvlJc w:val="left"/>
      <w:pPr>
        <w:ind w:left="502" w:hanging="360"/>
      </w:pPr>
      <w:rPr>
        <w:rFonts w:ascii="Symbol" w:hAnsi="Symbol" w:hint="default"/>
      </w:rPr>
    </w:lvl>
    <w:lvl w:ilvl="1" w:tplc="317E3A3C" w:tentative="1">
      <w:start w:val="1"/>
      <w:numFmt w:val="bullet"/>
      <w:lvlText w:val="o"/>
      <w:lvlJc w:val="left"/>
      <w:pPr>
        <w:ind w:left="1222" w:hanging="360"/>
      </w:pPr>
      <w:rPr>
        <w:rFonts w:ascii="Courier New" w:hAnsi="Courier New" w:cs="Courier New" w:hint="default"/>
      </w:rPr>
    </w:lvl>
    <w:lvl w:ilvl="2" w:tplc="6492D0A2" w:tentative="1">
      <w:start w:val="1"/>
      <w:numFmt w:val="bullet"/>
      <w:lvlText w:val=""/>
      <w:lvlJc w:val="left"/>
      <w:pPr>
        <w:ind w:left="1942" w:hanging="360"/>
      </w:pPr>
      <w:rPr>
        <w:rFonts w:ascii="Wingdings" w:hAnsi="Wingdings" w:hint="default"/>
      </w:rPr>
    </w:lvl>
    <w:lvl w:ilvl="3" w:tplc="4C04C4DA" w:tentative="1">
      <w:start w:val="1"/>
      <w:numFmt w:val="bullet"/>
      <w:lvlText w:val=""/>
      <w:lvlJc w:val="left"/>
      <w:pPr>
        <w:ind w:left="2662" w:hanging="360"/>
      </w:pPr>
      <w:rPr>
        <w:rFonts w:ascii="Symbol" w:hAnsi="Symbol" w:hint="default"/>
      </w:rPr>
    </w:lvl>
    <w:lvl w:ilvl="4" w:tplc="58066974" w:tentative="1">
      <w:start w:val="1"/>
      <w:numFmt w:val="bullet"/>
      <w:lvlText w:val="o"/>
      <w:lvlJc w:val="left"/>
      <w:pPr>
        <w:ind w:left="3382" w:hanging="360"/>
      </w:pPr>
      <w:rPr>
        <w:rFonts w:ascii="Courier New" w:hAnsi="Courier New" w:cs="Courier New" w:hint="default"/>
      </w:rPr>
    </w:lvl>
    <w:lvl w:ilvl="5" w:tplc="1AE64C28" w:tentative="1">
      <w:start w:val="1"/>
      <w:numFmt w:val="bullet"/>
      <w:lvlText w:val=""/>
      <w:lvlJc w:val="left"/>
      <w:pPr>
        <w:ind w:left="4102" w:hanging="360"/>
      </w:pPr>
      <w:rPr>
        <w:rFonts w:ascii="Wingdings" w:hAnsi="Wingdings" w:hint="default"/>
      </w:rPr>
    </w:lvl>
    <w:lvl w:ilvl="6" w:tplc="EDC65FC0" w:tentative="1">
      <w:start w:val="1"/>
      <w:numFmt w:val="bullet"/>
      <w:lvlText w:val=""/>
      <w:lvlJc w:val="left"/>
      <w:pPr>
        <w:ind w:left="4822" w:hanging="360"/>
      </w:pPr>
      <w:rPr>
        <w:rFonts w:ascii="Symbol" w:hAnsi="Symbol" w:hint="default"/>
      </w:rPr>
    </w:lvl>
    <w:lvl w:ilvl="7" w:tplc="D5E2E826" w:tentative="1">
      <w:start w:val="1"/>
      <w:numFmt w:val="bullet"/>
      <w:lvlText w:val="o"/>
      <w:lvlJc w:val="left"/>
      <w:pPr>
        <w:ind w:left="5542" w:hanging="360"/>
      </w:pPr>
      <w:rPr>
        <w:rFonts w:ascii="Courier New" w:hAnsi="Courier New" w:cs="Courier New" w:hint="default"/>
      </w:rPr>
    </w:lvl>
    <w:lvl w:ilvl="8" w:tplc="77F6788A" w:tentative="1">
      <w:start w:val="1"/>
      <w:numFmt w:val="bullet"/>
      <w:lvlText w:val=""/>
      <w:lvlJc w:val="left"/>
      <w:pPr>
        <w:ind w:left="6262" w:hanging="360"/>
      </w:pPr>
      <w:rPr>
        <w:rFonts w:ascii="Wingdings" w:hAnsi="Wingdings" w:hint="default"/>
      </w:rPr>
    </w:lvl>
  </w:abstractNum>
  <w:abstractNum w:abstractNumId="36" w15:restartNumberingAfterBreak="0">
    <w:nsid w:val="53DF5491"/>
    <w:multiLevelType w:val="hybridMultilevel"/>
    <w:tmpl w:val="48D2F91C"/>
    <w:lvl w:ilvl="0" w:tplc="DC6E072E">
      <w:start w:val="1"/>
      <w:numFmt w:val="bullet"/>
      <w:lvlText w:val=""/>
      <w:lvlJc w:val="left"/>
      <w:pPr>
        <w:ind w:left="502" w:hanging="360"/>
      </w:pPr>
      <w:rPr>
        <w:rFonts w:ascii="Symbol" w:hAnsi="Symbol" w:hint="default"/>
      </w:rPr>
    </w:lvl>
    <w:lvl w:ilvl="1" w:tplc="B644CFAC" w:tentative="1">
      <w:start w:val="1"/>
      <w:numFmt w:val="bullet"/>
      <w:lvlText w:val="o"/>
      <w:lvlJc w:val="left"/>
      <w:pPr>
        <w:ind w:left="1222" w:hanging="360"/>
      </w:pPr>
      <w:rPr>
        <w:rFonts w:ascii="Courier New" w:hAnsi="Courier New" w:cs="Courier New" w:hint="default"/>
      </w:rPr>
    </w:lvl>
    <w:lvl w:ilvl="2" w:tplc="A150FA4A" w:tentative="1">
      <w:start w:val="1"/>
      <w:numFmt w:val="bullet"/>
      <w:lvlText w:val=""/>
      <w:lvlJc w:val="left"/>
      <w:pPr>
        <w:ind w:left="1942" w:hanging="360"/>
      </w:pPr>
      <w:rPr>
        <w:rFonts w:ascii="Wingdings" w:hAnsi="Wingdings" w:hint="default"/>
      </w:rPr>
    </w:lvl>
    <w:lvl w:ilvl="3" w:tplc="AF525F66" w:tentative="1">
      <w:start w:val="1"/>
      <w:numFmt w:val="bullet"/>
      <w:lvlText w:val=""/>
      <w:lvlJc w:val="left"/>
      <w:pPr>
        <w:ind w:left="2662" w:hanging="360"/>
      </w:pPr>
      <w:rPr>
        <w:rFonts w:ascii="Symbol" w:hAnsi="Symbol" w:hint="default"/>
      </w:rPr>
    </w:lvl>
    <w:lvl w:ilvl="4" w:tplc="58BC8038" w:tentative="1">
      <w:start w:val="1"/>
      <w:numFmt w:val="bullet"/>
      <w:lvlText w:val="o"/>
      <w:lvlJc w:val="left"/>
      <w:pPr>
        <w:ind w:left="3382" w:hanging="360"/>
      </w:pPr>
      <w:rPr>
        <w:rFonts w:ascii="Courier New" w:hAnsi="Courier New" w:cs="Courier New" w:hint="default"/>
      </w:rPr>
    </w:lvl>
    <w:lvl w:ilvl="5" w:tplc="86608B5E" w:tentative="1">
      <w:start w:val="1"/>
      <w:numFmt w:val="bullet"/>
      <w:lvlText w:val=""/>
      <w:lvlJc w:val="left"/>
      <w:pPr>
        <w:ind w:left="4102" w:hanging="360"/>
      </w:pPr>
      <w:rPr>
        <w:rFonts w:ascii="Wingdings" w:hAnsi="Wingdings" w:hint="default"/>
      </w:rPr>
    </w:lvl>
    <w:lvl w:ilvl="6" w:tplc="30D2686A" w:tentative="1">
      <w:start w:val="1"/>
      <w:numFmt w:val="bullet"/>
      <w:lvlText w:val=""/>
      <w:lvlJc w:val="left"/>
      <w:pPr>
        <w:ind w:left="4822" w:hanging="360"/>
      </w:pPr>
      <w:rPr>
        <w:rFonts w:ascii="Symbol" w:hAnsi="Symbol" w:hint="default"/>
      </w:rPr>
    </w:lvl>
    <w:lvl w:ilvl="7" w:tplc="263A0134" w:tentative="1">
      <w:start w:val="1"/>
      <w:numFmt w:val="bullet"/>
      <w:lvlText w:val="o"/>
      <w:lvlJc w:val="left"/>
      <w:pPr>
        <w:ind w:left="5542" w:hanging="360"/>
      </w:pPr>
      <w:rPr>
        <w:rFonts w:ascii="Courier New" w:hAnsi="Courier New" w:cs="Courier New" w:hint="default"/>
      </w:rPr>
    </w:lvl>
    <w:lvl w:ilvl="8" w:tplc="A594AA7A" w:tentative="1">
      <w:start w:val="1"/>
      <w:numFmt w:val="bullet"/>
      <w:lvlText w:val=""/>
      <w:lvlJc w:val="left"/>
      <w:pPr>
        <w:ind w:left="6262" w:hanging="360"/>
      </w:pPr>
      <w:rPr>
        <w:rFonts w:ascii="Wingdings" w:hAnsi="Wingdings" w:hint="default"/>
      </w:rPr>
    </w:lvl>
  </w:abstractNum>
  <w:abstractNum w:abstractNumId="37" w15:restartNumberingAfterBreak="0">
    <w:nsid w:val="564E3D0E"/>
    <w:multiLevelType w:val="hybridMultilevel"/>
    <w:tmpl w:val="EE56084A"/>
    <w:lvl w:ilvl="0" w:tplc="201E7BDA">
      <w:start w:val="1"/>
      <w:numFmt w:val="bullet"/>
      <w:lvlText w:val=""/>
      <w:lvlJc w:val="left"/>
      <w:pPr>
        <w:ind w:left="720" w:hanging="360"/>
      </w:pPr>
      <w:rPr>
        <w:rFonts w:ascii="Symbol" w:hAnsi="Symbol" w:hint="default"/>
      </w:rPr>
    </w:lvl>
    <w:lvl w:ilvl="1" w:tplc="C5781C38" w:tentative="1">
      <w:start w:val="1"/>
      <w:numFmt w:val="bullet"/>
      <w:lvlText w:val="o"/>
      <w:lvlJc w:val="left"/>
      <w:pPr>
        <w:ind w:left="1440" w:hanging="360"/>
      </w:pPr>
      <w:rPr>
        <w:rFonts w:ascii="Courier New" w:hAnsi="Courier New" w:cs="Courier New" w:hint="default"/>
      </w:rPr>
    </w:lvl>
    <w:lvl w:ilvl="2" w:tplc="FE0C9986" w:tentative="1">
      <w:start w:val="1"/>
      <w:numFmt w:val="bullet"/>
      <w:lvlText w:val=""/>
      <w:lvlJc w:val="left"/>
      <w:pPr>
        <w:ind w:left="2160" w:hanging="360"/>
      </w:pPr>
      <w:rPr>
        <w:rFonts w:ascii="Wingdings" w:hAnsi="Wingdings" w:hint="default"/>
      </w:rPr>
    </w:lvl>
    <w:lvl w:ilvl="3" w:tplc="23560D0E" w:tentative="1">
      <w:start w:val="1"/>
      <w:numFmt w:val="bullet"/>
      <w:lvlText w:val=""/>
      <w:lvlJc w:val="left"/>
      <w:pPr>
        <w:ind w:left="2880" w:hanging="360"/>
      </w:pPr>
      <w:rPr>
        <w:rFonts w:ascii="Symbol" w:hAnsi="Symbol" w:hint="default"/>
      </w:rPr>
    </w:lvl>
    <w:lvl w:ilvl="4" w:tplc="0D3899A4" w:tentative="1">
      <w:start w:val="1"/>
      <w:numFmt w:val="bullet"/>
      <w:lvlText w:val="o"/>
      <w:lvlJc w:val="left"/>
      <w:pPr>
        <w:ind w:left="3600" w:hanging="360"/>
      </w:pPr>
      <w:rPr>
        <w:rFonts w:ascii="Courier New" w:hAnsi="Courier New" w:cs="Courier New" w:hint="default"/>
      </w:rPr>
    </w:lvl>
    <w:lvl w:ilvl="5" w:tplc="97A89572" w:tentative="1">
      <w:start w:val="1"/>
      <w:numFmt w:val="bullet"/>
      <w:lvlText w:val=""/>
      <w:lvlJc w:val="left"/>
      <w:pPr>
        <w:ind w:left="4320" w:hanging="360"/>
      </w:pPr>
      <w:rPr>
        <w:rFonts w:ascii="Wingdings" w:hAnsi="Wingdings" w:hint="default"/>
      </w:rPr>
    </w:lvl>
    <w:lvl w:ilvl="6" w:tplc="B688F6A4" w:tentative="1">
      <w:start w:val="1"/>
      <w:numFmt w:val="bullet"/>
      <w:lvlText w:val=""/>
      <w:lvlJc w:val="left"/>
      <w:pPr>
        <w:ind w:left="5040" w:hanging="360"/>
      </w:pPr>
      <w:rPr>
        <w:rFonts w:ascii="Symbol" w:hAnsi="Symbol" w:hint="default"/>
      </w:rPr>
    </w:lvl>
    <w:lvl w:ilvl="7" w:tplc="B324005C" w:tentative="1">
      <w:start w:val="1"/>
      <w:numFmt w:val="bullet"/>
      <w:lvlText w:val="o"/>
      <w:lvlJc w:val="left"/>
      <w:pPr>
        <w:ind w:left="5760" w:hanging="360"/>
      </w:pPr>
      <w:rPr>
        <w:rFonts w:ascii="Courier New" w:hAnsi="Courier New" w:cs="Courier New" w:hint="default"/>
      </w:rPr>
    </w:lvl>
    <w:lvl w:ilvl="8" w:tplc="12DE1C16" w:tentative="1">
      <w:start w:val="1"/>
      <w:numFmt w:val="bullet"/>
      <w:lvlText w:val=""/>
      <w:lvlJc w:val="left"/>
      <w:pPr>
        <w:ind w:left="6480" w:hanging="360"/>
      </w:pPr>
      <w:rPr>
        <w:rFonts w:ascii="Wingdings" w:hAnsi="Wingdings" w:hint="default"/>
      </w:rPr>
    </w:lvl>
  </w:abstractNum>
  <w:abstractNum w:abstractNumId="38" w15:restartNumberingAfterBreak="0">
    <w:nsid w:val="59724625"/>
    <w:multiLevelType w:val="hybridMultilevel"/>
    <w:tmpl w:val="5DD2CC70"/>
    <w:lvl w:ilvl="0" w:tplc="4B4060E4">
      <w:start w:val="1"/>
      <w:numFmt w:val="bullet"/>
      <w:lvlText w:val="o"/>
      <w:lvlJc w:val="left"/>
      <w:pPr>
        <w:ind w:left="2160" w:hanging="360"/>
      </w:pPr>
      <w:rPr>
        <w:rFonts w:ascii="Courier New" w:hAnsi="Courier New" w:cs="Courier New" w:hint="default"/>
      </w:rPr>
    </w:lvl>
    <w:lvl w:ilvl="1" w:tplc="8AD0CCF6" w:tentative="1">
      <w:start w:val="1"/>
      <w:numFmt w:val="bullet"/>
      <w:lvlText w:val="o"/>
      <w:lvlJc w:val="left"/>
      <w:pPr>
        <w:ind w:left="2880" w:hanging="360"/>
      </w:pPr>
      <w:rPr>
        <w:rFonts w:ascii="Courier New" w:hAnsi="Courier New" w:cs="Courier New" w:hint="default"/>
      </w:rPr>
    </w:lvl>
    <w:lvl w:ilvl="2" w:tplc="70C6C07E" w:tentative="1">
      <w:start w:val="1"/>
      <w:numFmt w:val="bullet"/>
      <w:lvlText w:val=""/>
      <w:lvlJc w:val="left"/>
      <w:pPr>
        <w:ind w:left="3600" w:hanging="360"/>
      </w:pPr>
      <w:rPr>
        <w:rFonts w:ascii="Wingdings" w:hAnsi="Wingdings" w:hint="default"/>
      </w:rPr>
    </w:lvl>
    <w:lvl w:ilvl="3" w:tplc="3F46ACFC" w:tentative="1">
      <w:start w:val="1"/>
      <w:numFmt w:val="bullet"/>
      <w:lvlText w:val=""/>
      <w:lvlJc w:val="left"/>
      <w:pPr>
        <w:ind w:left="4320" w:hanging="360"/>
      </w:pPr>
      <w:rPr>
        <w:rFonts w:ascii="Symbol" w:hAnsi="Symbol" w:hint="default"/>
      </w:rPr>
    </w:lvl>
    <w:lvl w:ilvl="4" w:tplc="AA2CE9E4" w:tentative="1">
      <w:start w:val="1"/>
      <w:numFmt w:val="bullet"/>
      <w:lvlText w:val="o"/>
      <w:lvlJc w:val="left"/>
      <w:pPr>
        <w:ind w:left="5040" w:hanging="360"/>
      </w:pPr>
      <w:rPr>
        <w:rFonts w:ascii="Courier New" w:hAnsi="Courier New" w:cs="Courier New" w:hint="default"/>
      </w:rPr>
    </w:lvl>
    <w:lvl w:ilvl="5" w:tplc="80C2F182" w:tentative="1">
      <w:start w:val="1"/>
      <w:numFmt w:val="bullet"/>
      <w:lvlText w:val=""/>
      <w:lvlJc w:val="left"/>
      <w:pPr>
        <w:ind w:left="5760" w:hanging="360"/>
      </w:pPr>
      <w:rPr>
        <w:rFonts w:ascii="Wingdings" w:hAnsi="Wingdings" w:hint="default"/>
      </w:rPr>
    </w:lvl>
    <w:lvl w:ilvl="6" w:tplc="9BDCF192" w:tentative="1">
      <w:start w:val="1"/>
      <w:numFmt w:val="bullet"/>
      <w:lvlText w:val=""/>
      <w:lvlJc w:val="left"/>
      <w:pPr>
        <w:ind w:left="6480" w:hanging="360"/>
      </w:pPr>
      <w:rPr>
        <w:rFonts w:ascii="Symbol" w:hAnsi="Symbol" w:hint="default"/>
      </w:rPr>
    </w:lvl>
    <w:lvl w:ilvl="7" w:tplc="1744F1BC" w:tentative="1">
      <w:start w:val="1"/>
      <w:numFmt w:val="bullet"/>
      <w:lvlText w:val="o"/>
      <w:lvlJc w:val="left"/>
      <w:pPr>
        <w:ind w:left="7200" w:hanging="360"/>
      </w:pPr>
      <w:rPr>
        <w:rFonts w:ascii="Courier New" w:hAnsi="Courier New" w:cs="Courier New" w:hint="default"/>
      </w:rPr>
    </w:lvl>
    <w:lvl w:ilvl="8" w:tplc="80A23F44" w:tentative="1">
      <w:start w:val="1"/>
      <w:numFmt w:val="bullet"/>
      <w:lvlText w:val=""/>
      <w:lvlJc w:val="left"/>
      <w:pPr>
        <w:ind w:left="7920" w:hanging="360"/>
      </w:pPr>
      <w:rPr>
        <w:rFonts w:ascii="Wingdings" w:hAnsi="Wingdings" w:hint="default"/>
      </w:rPr>
    </w:lvl>
  </w:abstractNum>
  <w:abstractNum w:abstractNumId="39" w15:restartNumberingAfterBreak="0">
    <w:nsid w:val="63C374F1"/>
    <w:multiLevelType w:val="hybridMultilevel"/>
    <w:tmpl w:val="A782BDFC"/>
    <w:lvl w:ilvl="0" w:tplc="09B015AA">
      <w:start w:val="1"/>
      <w:numFmt w:val="bullet"/>
      <w:lvlText w:val=""/>
      <w:lvlJc w:val="left"/>
      <w:pPr>
        <w:ind w:left="502" w:hanging="360"/>
      </w:pPr>
      <w:rPr>
        <w:rFonts w:ascii="Symbol" w:hAnsi="Symbol" w:hint="default"/>
      </w:rPr>
    </w:lvl>
    <w:lvl w:ilvl="1" w:tplc="7C740528">
      <w:numFmt w:val="bullet"/>
      <w:lvlText w:val="•"/>
      <w:lvlJc w:val="left"/>
      <w:pPr>
        <w:ind w:left="1440" w:hanging="360"/>
      </w:pPr>
      <w:rPr>
        <w:rFonts w:ascii="Arial" w:eastAsia="Calibri" w:hAnsi="Arial" w:cs="Arial" w:hint="default"/>
      </w:rPr>
    </w:lvl>
    <w:lvl w:ilvl="2" w:tplc="2C484A9E" w:tentative="1">
      <w:start w:val="1"/>
      <w:numFmt w:val="bullet"/>
      <w:lvlText w:val=""/>
      <w:lvlJc w:val="left"/>
      <w:pPr>
        <w:ind w:left="2160" w:hanging="360"/>
      </w:pPr>
      <w:rPr>
        <w:rFonts w:ascii="Wingdings" w:hAnsi="Wingdings" w:hint="default"/>
      </w:rPr>
    </w:lvl>
    <w:lvl w:ilvl="3" w:tplc="23920F9E" w:tentative="1">
      <w:start w:val="1"/>
      <w:numFmt w:val="bullet"/>
      <w:lvlText w:val=""/>
      <w:lvlJc w:val="left"/>
      <w:pPr>
        <w:ind w:left="2880" w:hanging="360"/>
      </w:pPr>
      <w:rPr>
        <w:rFonts w:ascii="Symbol" w:hAnsi="Symbol" w:hint="default"/>
      </w:rPr>
    </w:lvl>
    <w:lvl w:ilvl="4" w:tplc="8AB0F158" w:tentative="1">
      <w:start w:val="1"/>
      <w:numFmt w:val="bullet"/>
      <w:lvlText w:val="o"/>
      <w:lvlJc w:val="left"/>
      <w:pPr>
        <w:ind w:left="3600" w:hanging="360"/>
      </w:pPr>
      <w:rPr>
        <w:rFonts w:ascii="Courier New" w:hAnsi="Courier New" w:cs="Courier New" w:hint="default"/>
      </w:rPr>
    </w:lvl>
    <w:lvl w:ilvl="5" w:tplc="7390EB4A" w:tentative="1">
      <w:start w:val="1"/>
      <w:numFmt w:val="bullet"/>
      <w:lvlText w:val=""/>
      <w:lvlJc w:val="left"/>
      <w:pPr>
        <w:ind w:left="4320" w:hanging="360"/>
      </w:pPr>
      <w:rPr>
        <w:rFonts w:ascii="Wingdings" w:hAnsi="Wingdings" w:hint="default"/>
      </w:rPr>
    </w:lvl>
    <w:lvl w:ilvl="6" w:tplc="3D7646C0" w:tentative="1">
      <w:start w:val="1"/>
      <w:numFmt w:val="bullet"/>
      <w:lvlText w:val=""/>
      <w:lvlJc w:val="left"/>
      <w:pPr>
        <w:ind w:left="5040" w:hanging="360"/>
      </w:pPr>
      <w:rPr>
        <w:rFonts w:ascii="Symbol" w:hAnsi="Symbol" w:hint="default"/>
      </w:rPr>
    </w:lvl>
    <w:lvl w:ilvl="7" w:tplc="8C80A448" w:tentative="1">
      <w:start w:val="1"/>
      <w:numFmt w:val="bullet"/>
      <w:lvlText w:val="o"/>
      <w:lvlJc w:val="left"/>
      <w:pPr>
        <w:ind w:left="5760" w:hanging="360"/>
      </w:pPr>
      <w:rPr>
        <w:rFonts w:ascii="Courier New" w:hAnsi="Courier New" w:cs="Courier New" w:hint="default"/>
      </w:rPr>
    </w:lvl>
    <w:lvl w:ilvl="8" w:tplc="F0CA0FC0" w:tentative="1">
      <w:start w:val="1"/>
      <w:numFmt w:val="bullet"/>
      <w:lvlText w:val=""/>
      <w:lvlJc w:val="left"/>
      <w:pPr>
        <w:ind w:left="6480" w:hanging="360"/>
      </w:pPr>
      <w:rPr>
        <w:rFonts w:ascii="Wingdings" w:hAnsi="Wingdings" w:hint="default"/>
      </w:rPr>
    </w:lvl>
  </w:abstractNum>
  <w:abstractNum w:abstractNumId="40" w15:restartNumberingAfterBreak="0">
    <w:nsid w:val="63F759CD"/>
    <w:multiLevelType w:val="hybridMultilevel"/>
    <w:tmpl w:val="6FF22088"/>
    <w:lvl w:ilvl="0" w:tplc="77A69A12">
      <w:start w:val="1"/>
      <w:numFmt w:val="decimal"/>
      <w:pStyle w:val="Heading4"/>
      <w:lvlText w:val="%1."/>
      <w:lvlJc w:val="left"/>
      <w:pPr>
        <w:ind w:left="360" w:hanging="360"/>
      </w:pPr>
    </w:lvl>
    <w:lvl w:ilvl="1" w:tplc="26A617DA" w:tentative="1">
      <w:start w:val="1"/>
      <w:numFmt w:val="lowerLetter"/>
      <w:lvlText w:val="%2."/>
      <w:lvlJc w:val="left"/>
      <w:pPr>
        <w:ind w:left="1080" w:hanging="360"/>
      </w:pPr>
    </w:lvl>
    <w:lvl w:ilvl="2" w:tplc="45AAF850" w:tentative="1">
      <w:start w:val="1"/>
      <w:numFmt w:val="lowerRoman"/>
      <w:lvlText w:val="%3."/>
      <w:lvlJc w:val="right"/>
      <w:pPr>
        <w:ind w:left="1800" w:hanging="180"/>
      </w:pPr>
    </w:lvl>
    <w:lvl w:ilvl="3" w:tplc="BFEA2684" w:tentative="1">
      <w:start w:val="1"/>
      <w:numFmt w:val="decimal"/>
      <w:lvlText w:val="%4."/>
      <w:lvlJc w:val="left"/>
      <w:pPr>
        <w:ind w:left="2520" w:hanging="360"/>
      </w:pPr>
    </w:lvl>
    <w:lvl w:ilvl="4" w:tplc="12442CF2" w:tentative="1">
      <w:start w:val="1"/>
      <w:numFmt w:val="lowerLetter"/>
      <w:lvlText w:val="%5."/>
      <w:lvlJc w:val="left"/>
      <w:pPr>
        <w:ind w:left="3240" w:hanging="360"/>
      </w:pPr>
    </w:lvl>
    <w:lvl w:ilvl="5" w:tplc="B85EA376" w:tentative="1">
      <w:start w:val="1"/>
      <w:numFmt w:val="lowerRoman"/>
      <w:lvlText w:val="%6."/>
      <w:lvlJc w:val="right"/>
      <w:pPr>
        <w:ind w:left="3960" w:hanging="180"/>
      </w:pPr>
    </w:lvl>
    <w:lvl w:ilvl="6" w:tplc="55588F36" w:tentative="1">
      <w:start w:val="1"/>
      <w:numFmt w:val="decimal"/>
      <w:lvlText w:val="%7."/>
      <w:lvlJc w:val="left"/>
      <w:pPr>
        <w:ind w:left="4680" w:hanging="360"/>
      </w:pPr>
    </w:lvl>
    <w:lvl w:ilvl="7" w:tplc="862CC5B4" w:tentative="1">
      <w:start w:val="1"/>
      <w:numFmt w:val="lowerLetter"/>
      <w:lvlText w:val="%8."/>
      <w:lvlJc w:val="left"/>
      <w:pPr>
        <w:ind w:left="5400" w:hanging="360"/>
      </w:pPr>
    </w:lvl>
    <w:lvl w:ilvl="8" w:tplc="1F1CF2A6" w:tentative="1">
      <w:start w:val="1"/>
      <w:numFmt w:val="lowerRoman"/>
      <w:lvlText w:val="%9."/>
      <w:lvlJc w:val="right"/>
      <w:pPr>
        <w:ind w:left="6120" w:hanging="180"/>
      </w:pPr>
    </w:lvl>
  </w:abstractNum>
  <w:abstractNum w:abstractNumId="41" w15:restartNumberingAfterBreak="0">
    <w:nsid w:val="6BFC7B04"/>
    <w:multiLevelType w:val="hybridMultilevel"/>
    <w:tmpl w:val="C9F452C8"/>
    <w:lvl w:ilvl="0" w:tplc="D1D0911A">
      <w:start w:val="1"/>
      <w:numFmt w:val="decimal"/>
      <w:lvlText w:val="%1."/>
      <w:lvlJc w:val="left"/>
      <w:pPr>
        <w:ind w:left="930" w:hanging="570"/>
      </w:pPr>
      <w:rPr>
        <w:rFonts w:hint="default"/>
      </w:rPr>
    </w:lvl>
    <w:lvl w:ilvl="1" w:tplc="34680226">
      <w:start w:val="1"/>
      <w:numFmt w:val="lowerLetter"/>
      <w:lvlText w:val="%2."/>
      <w:lvlJc w:val="left"/>
      <w:pPr>
        <w:ind w:left="1440" w:hanging="360"/>
      </w:pPr>
    </w:lvl>
    <w:lvl w:ilvl="2" w:tplc="A56CBA4C" w:tentative="1">
      <w:start w:val="1"/>
      <w:numFmt w:val="lowerRoman"/>
      <w:lvlText w:val="%3."/>
      <w:lvlJc w:val="right"/>
      <w:pPr>
        <w:ind w:left="2160" w:hanging="180"/>
      </w:pPr>
    </w:lvl>
    <w:lvl w:ilvl="3" w:tplc="686A01C0" w:tentative="1">
      <w:start w:val="1"/>
      <w:numFmt w:val="decimal"/>
      <w:lvlText w:val="%4."/>
      <w:lvlJc w:val="left"/>
      <w:pPr>
        <w:ind w:left="2880" w:hanging="360"/>
      </w:pPr>
    </w:lvl>
    <w:lvl w:ilvl="4" w:tplc="897607BA" w:tentative="1">
      <w:start w:val="1"/>
      <w:numFmt w:val="lowerLetter"/>
      <w:lvlText w:val="%5."/>
      <w:lvlJc w:val="left"/>
      <w:pPr>
        <w:ind w:left="3600" w:hanging="360"/>
      </w:pPr>
    </w:lvl>
    <w:lvl w:ilvl="5" w:tplc="E2B4C656" w:tentative="1">
      <w:start w:val="1"/>
      <w:numFmt w:val="lowerRoman"/>
      <w:lvlText w:val="%6."/>
      <w:lvlJc w:val="right"/>
      <w:pPr>
        <w:ind w:left="4320" w:hanging="180"/>
      </w:pPr>
    </w:lvl>
    <w:lvl w:ilvl="6" w:tplc="46048DF6" w:tentative="1">
      <w:start w:val="1"/>
      <w:numFmt w:val="decimal"/>
      <w:lvlText w:val="%7."/>
      <w:lvlJc w:val="left"/>
      <w:pPr>
        <w:ind w:left="5040" w:hanging="360"/>
      </w:pPr>
    </w:lvl>
    <w:lvl w:ilvl="7" w:tplc="7C008CE0" w:tentative="1">
      <w:start w:val="1"/>
      <w:numFmt w:val="lowerLetter"/>
      <w:lvlText w:val="%8."/>
      <w:lvlJc w:val="left"/>
      <w:pPr>
        <w:ind w:left="5760" w:hanging="360"/>
      </w:pPr>
    </w:lvl>
    <w:lvl w:ilvl="8" w:tplc="14A68F66" w:tentative="1">
      <w:start w:val="1"/>
      <w:numFmt w:val="lowerRoman"/>
      <w:lvlText w:val="%9."/>
      <w:lvlJc w:val="right"/>
      <w:pPr>
        <w:ind w:left="6480" w:hanging="180"/>
      </w:pPr>
    </w:lvl>
  </w:abstractNum>
  <w:abstractNum w:abstractNumId="42" w15:restartNumberingAfterBreak="0">
    <w:nsid w:val="712C6B77"/>
    <w:multiLevelType w:val="hybridMultilevel"/>
    <w:tmpl w:val="808278F0"/>
    <w:lvl w:ilvl="0" w:tplc="614E6586">
      <w:start w:val="1"/>
      <w:numFmt w:val="decimal"/>
      <w:pStyle w:val="Heading3-numbered"/>
      <w:lvlText w:val="%1."/>
      <w:lvlJc w:val="left"/>
      <w:pPr>
        <w:ind w:left="360" w:hanging="360"/>
      </w:pPr>
      <w:rPr>
        <w:b/>
        <w:i w:val="0"/>
        <w:color w:val="auto"/>
        <w:sz w:val="28"/>
        <w:szCs w:val="28"/>
      </w:rPr>
    </w:lvl>
    <w:lvl w:ilvl="1" w:tplc="5B065D38" w:tentative="1">
      <w:start w:val="1"/>
      <w:numFmt w:val="lowerLetter"/>
      <w:lvlText w:val="%2."/>
      <w:lvlJc w:val="left"/>
      <w:pPr>
        <w:ind w:left="1080" w:hanging="360"/>
      </w:pPr>
    </w:lvl>
    <w:lvl w:ilvl="2" w:tplc="80A4717E" w:tentative="1">
      <w:start w:val="1"/>
      <w:numFmt w:val="lowerRoman"/>
      <w:lvlText w:val="%3."/>
      <w:lvlJc w:val="right"/>
      <w:pPr>
        <w:ind w:left="1800" w:hanging="180"/>
      </w:pPr>
    </w:lvl>
    <w:lvl w:ilvl="3" w:tplc="6BA89FFC" w:tentative="1">
      <w:start w:val="1"/>
      <w:numFmt w:val="decimal"/>
      <w:lvlText w:val="%4."/>
      <w:lvlJc w:val="left"/>
      <w:pPr>
        <w:ind w:left="2520" w:hanging="360"/>
      </w:pPr>
    </w:lvl>
    <w:lvl w:ilvl="4" w:tplc="08248F4A" w:tentative="1">
      <w:start w:val="1"/>
      <w:numFmt w:val="lowerLetter"/>
      <w:lvlText w:val="%5."/>
      <w:lvlJc w:val="left"/>
      <w:pPr>
        <w:ind w:left="3240" w:hanging="360"/>
      </w:pPr>
    </w:lvl>
    <w:lvl w:ilvl="5" w:tplc="7D2C9C3E" w:tentative="1">
      <w:start w:val="1"/>
      <w:numFmt w:val="lowerRoman"/>
      <w:lvlText w:val="%6."/>
      <w:lvlJc w:val="right"/>
      <w:pPr>
        <w:ind w:left="3960" w:hanging="180"/>
      </w:pPr>
    </w:lvl>
    <w:lvl w:ilvl="6" w:tplc="6D363AEA" w:tentative="1">
      <w:start w:val="1"/>
      <w:numFmt w:val="decimal"/>
      <w:lvlText w:val="%7."/>
      <w:lvlJc w:val="left"/>
      <w:pPr>
        <w:ind w:left="4680" w:hanging="360"/>
      </w:pPr>
    </w:lvl>
    <w:lvl w:ilvl="7" w:tplc="B2841560" w:tentative="1">
      <w:start w:val="1"/>
      <w:numFmt w:val="lowerLetter"/>
      <w:lvlText w:val="%8."/>
      <w:lvlJc w:val="left"/>
      <w:pPr>
        <w:ind w:left="5400" w:hanging="360"/>
      </w:pPr>
    </w:lvl>
    <w:lvl w:ilvl="8" w:tplc="7C3204FC" w:tentative="1">
      <w:start w:val="1"/>
      <w:numFmt w:val="lowerRoman"/>
      <w:lvlText w:val="%9."/>
      <w:lvlJc w:val="right"/>
      <w:pPr>
        <w:ind w:left="6120" w:hanging="180"/>
      </w:pPr>
    </w:lvl>
  </w:abstractNum>
  <w:abstractNum w:abstractNumId="43" w15:restartNumberingAfterBreak="0">
    <w:nsid w:val="744A0F0E"/>
    <w:multiLevelType w:val="hybridMultilevel"/>
    <w:tmpl w:val="845C436E"/>
    <w:lvl w:ilvl="0" w:tplc="E6640B7A">
      <w:start w:val="1"/>
      <w:numFmt w:val="bullet"/>
      <w:lvlText w:val=""/>
      <w:lvlJc w:val="left"/>
      <w:pPr>
        <w:ind w:left="927" w:hanging="360"/>
      </w:pPr>
      <w:rPr>
        <w:rFonts w:ascii="Symbol" w:hAnsi="Symbol" w:hint="default"/>
      </w:rPr>
    </w:lvl>
    <w:lvl w:ilvl="1" w:tplc="C6CC06E0" w:tentative="1">
      <w:start w:val="1"/>
      <w:numFmt w:val="bullet"/>
      <w:lvlText w:val="o"/>
      <w:lvlJc w:val="left"/>
      <w:pPr>
        <w:ind w:left="1647" w:hanging="360"/>
      </w:pPr>
      <w:rPr>
        <w:rFonts w:ascii="Courier New" w:hAnsi="Courier New" w:cs="Courier New" w:hint="default"/>
      </w:rPr>
    </w:lvl>
    <w:lvl w:ilvl="2" w:tplc="2F08A58A" w:tentative="1">
      <w:start w:val="1"/>
      <w:numFmt w:val="bullet"/>
      <w:lvlText w:val=""/>
      <w:lvlJc w:val="left"/>
      <w:pPr>
        <w:ind w:left="2367" w:hanging="360"/>
      </w:pPr>
      <w:rPr>
        <w:rFonts w:ascii="Wingdings" w:hAnsi="Wingdings" w:hint="default"/>
      </w:rPr>
    </w:lvl>
    <w:lvl w:ilvl="3" w:tplc="49EC3D08" w:tentative="1">
      <w:start w:val="1"/>
      <w:numFmt w:val="bullet"/>
      <w:lvlText w:val=""/>
      <w:lvlJc w:val="left"/>
      <w:pPr>
        <w:ind w:left="3087" w:hanging="360"/>
      </w:pPr>
      <w:rPr>
        <w:rFonts w:ascii="Symbol" w:hAnsi="Symbol" w:hint="default"/>
      </w:rPr>
    </w:lvl>
    <w:lvl w:ilvl="4" w:tplc="AB847390" w:tentative="1">
      <w:start w:val="1"/>
      <w:numFmt w:val="bullet"/>
      <w:lvlText w:val="o"/>
      <w:lvlJc w:val="left"/>
      <w:pPr>
        <w:ind w:left="3807" w:hanging="360"/>
      </w:pPr>
      <w:rPr>
        <w:rFonts w:ascii="Courier New" w:hAnsi="Courier New" w:cs="Courier New" w:hint="default"/>
      </w:rPr>
    </w:lvl>
    <w:lvl w:ilvl="5" w:tplc="E15ACF2E" w:tentative="1">
      <w:start w:val="1"/>
      <w:numFmt w:val="bullet"/>
      <w:lvlText w:val=""/>
      <w:lvlJc w:val="left"/>
      <w:pPr>
        <w:ind w:left="4527" w:hanging="360"/>
      </w:pPr>
      <w:rPr>
        <w:rFonts w:ascii="Wingdings" w:hAnsi="Wingdings" w:hint="default"/>
      </w:rPr>
    </w:lvl>
    <w:lvl w:ilvl="6" w:tplc="C7407E5C" w:tentative="1">
      <w:start w:val="1"/>
      <w:numFmt w:val="bullet"/>
      <w:lvlText w:val=""/>
      <w:lvlJc w:val="left"/>
      <w:pPr>
        <w:ind w:left="5247" w:hanging="360"/>
      </w:pPr>
      <w:rPr>
        <w:rFonts w:ascii="Symbol" w:hAnsi="Symbol" w:hint="default"/>
      </w:rPr>
    </w:lvl>
    <w:lvl w:ilvl="7" w:tplc="34864F00" w:tentative="1">
      <w:start w:val="1"/>
      <w:numFmt w:val="bullet"/>
      <w:lvlText w:val="o"/>
      <w:lvlJc w:val="left"/>
      <w:pPr>
        <w:ind w:left="5967" w:hanging="360"/>
      </w:pPr>
      <w:rPr>
        <w:rFonts w:ascii="Courier New" w:hAnsi="Courier New" w:cs="Courier New" w:hint="default"/>
      </w:rPr>
    </w:lvl>
    <w:lvl w:ilvl="8" w:tplc="1E8A0626" w:tentative="1">
      <w:start w:val="1"/>
      <w:numFmt w:val="bullet"/>
      <w:lvlText w:val=""/>
      <w:lvlJc w:val="left"/>
      <w:pPr>
        <w:ind w:left="6687" w:hanging="360"/>
      </w:pPr>
      <w:rPr>
        <w:rFonts w:ascii="Wingdings" w:hAnsi="Wingdings" w:hint="default"/>
      </w:rPr>
    </w:lvl>
  </w:abstractNum>
  <w:num w:numId="1">
    <w:abstractNumId w:val="27"/>
  </w:num>
  <w:num w:numId="2">
    <w:abstractNumId w:val="32"/>
  </w:num>
  <w:num w:numId="3">
    <w:abstractNumId w:val="42"/>
  </w:num>
  <w:num w:numId="4">
    <w:abstractNumId w:val="40"/>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41"/>
  </w:num>
  <w:num w:numId="26">
    <w:abstractNumId w:val="39"/>
  </w:num>
  <w:num w:numId="27">
    <w:abstractNumId w:val="28"/>
  </w:num>
  <w:num w:numId="28">
    <w:abstractNumId w:val="34"/>
  </w:num>
  <w:num w:numId="29">
    <w:abstractNumId w:val="31"/>
  </w:num>
  <w:num w:numId="30">
    <w:abstractNumId w:val="35"/>
  </w:num>
  <w:num w:numId="31">
    <w:abstractNumId w:val="20"/>
  </w:num>
  <w:num w:numId="32">
    <w:abstractNumId w:val="37"/>
  </w:num>
  <w:num w:numId="33">
    <w:abstractNumId w:val="38"/>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3"/>
  </w:num>
  <w:num w:numId="40">
    <w:abstractNumId w:val="30"/>
  </w:num>
  <w:num w:numId="41">
    <w:abstractNumId w:val="24"/>
  </w:num>
  <w:num w:numId="42">
    <w:abstractNumId w:val="36"/>
  </w:num>
  <w:num w:numId="43">
    <w:abstractNumId w:val="26"/>
  </w:num>
  <w:num w:numId="44">
    <w:abstractNumId w:val="43"/>
  </w:num>
  <w:num w:numId="45">
    <w:abstractNumId w:val="33"/>
  </w:num>
  <w:num w:numId="46">
    <w:abstractNumId w:val="25"/>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trackRevision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0E"/>
    <w:rsid w:val="0001175D"/>
    <w:rsid w:val="0001361B"/>
    <w:rsid w:val="00013E25"/>
    <w:rsid w:val="000217D5"/>
    <w:rsid w:val="0002383B"/>
    <w:rsid w:val="00024D68"/>
    <w:rsid w:val="00027E8D"/>
    <w:rsid w:val="0003013F"/>
    <w:rsid w:val="00034DB2"/>
    <w:rsid w:val="00035461"/>
    <w:rsid w:val="00044661"/>
    <w:rsid w:val="000471CA"/>
    <w:rsid w:val="00050897"/>
    <w:rsid w:val="0005558F"/>
    <w:rsid w:val="00055B5E"/>
    <w:rsid w:val="00056209"/>
    <w:rsid w:val="00056E59"/>
    <w:rsid w:val="0006017D"/>
    <w:rsid w:val="000647E5"/>
    <w:rsid w:val="000660B1"/>
    <w:rsid w:val="00066276"/>
    <w:rsid w:val="00070C5D"/>
    <w:rsid w:val="00071323"/>
    <w:rsid w:val="0007321D"/>
    <w:rsid w:val="000759B8"/>
    <w:rsid w:val="00080124"/>
    <w:rsid w:val="00081005"/>
    <w:rsid w:val="000816B7"/>
    <w:rsid w:val="00082716"/>
    <w:rsid w:val="00082D5C"/>
    <w:rsid w:val="0008416E"/>
    <w:rsid w:val="0009176B"/>
    <w:rsid w:val="000A55A5"/>
    <w:rsid w:val="000A5B3E"/>
    <w:rsid w:val="000B0754"/>
    <w:rsid w:val="000B66F1"/>
    <w:rsid w:val="000C18F8"/>
    <w:rsid w:val="000C6E49"/>
    <w:rsid w:val="000D1652"/>
    <w:rsid w:val="000D3AB2"/>
    <w:rsid w:val="000D7E4B"/>
    <w:rsid w:val="000E6AC4"/>
    <w:rsid w:val="000E75BE"/>
    <w:rsid w:val="000F52D4"/>
    <w:rsid w:val="000F65B4"/>
    <w:rsid w:val="001100D6"/>
    <w:rsid w:val="00114BDE"/>
    <w:rsid w:val="00121AC9"/>
    <w:rsid w:val="00121ECE"/>
    <w:rsid w:val="00122349"/>
    <w:rsid w:val="001263FC"/>
    <w:rsid w:val="00131ABF"/>
    <w:rsid w:val="0013467F"/>
    <w:rsid w:val="00135D9A"/>
    <w:rsid w:val="00136CFC"/>
    <w:rsid w:val="00137860"/>
    <w:rsid w:val="0014276C"/>
    <w:rsid w:val="00151937"/>
    <w:rsid w:val="00152008"/>
    <w:rsid w:val="001542AE"/>
    <w:rsid w:val="00161DA9"/>
    <w:rsid w:val="00166BDE"/>
    <w:rsid w:val="001710DD"/>
    <w:rsid w:val="0017405C"/>
    <w:rsid w:val="00180F88"/>
    <w:rsid w:val="00185966"/>
    <w:rsid w:val="001900C6"/>
    <w:rsid w:val="001948BE"/>
    <w:rsid w:val="00194AE8"/>
    <w:rsid w:val="00195F39"/>
    <w:rsid w:val="0019786E"/>
    <w:rsid w:val="001A3D2E"/>
    <w:rsid w:val="001A5D6C"/>
    <w:rsid w:val="001A6210"/>
    <w:rsid w:val="001A6434"/>
    <w:rsid w:val="001A745D"/>
    <w:rsid w:val="001B1A9B"/>
    <w:rsid w:val="001B2D52"/>
    <w:rsid w:val="001C27C0"/>
    <w:rsid w:val="001C62E6"/>
    <w:rsid w:val="001C6E3C"/>
    <w:rsid w:val="001D1F6E"/>
    <w:rsid w:val="001D1F74"/>
    <w:rsid w:val="001D5CA2"/>
    <w:rsid w:val="001E16F9"/>
    <w:rsid w:val="001E56DB"/>
    <w:rsid w:val="001E5976"/>
    <w:rsid w:val="001E7857"/>
    <w:rsid w:val="001F0E47"/>
    <w:rsid w:val="001F1108"/>
    <w:rsid w:val="001F4BC3"/>
    <w:rsid w:val="001F79B3"/>
    <w:rsid w:val="002004EE"/>
    <w:rsid w:val="00205F86"/>
    <w:rsid w:val="00211551"/>
    <w:rsid w:val="00212C5F"/>
    <w:rsid w:val="00213113"/>
    <w:rsid w:val="002153F6"/>
    <w:rsid w:val="00215606"/>
    <w:rsid w:val="00216B23"/>
    <w:rsid w:val="0022794F"/>
    <w:rsid w:val="00234315"/>
    <w:rsid w:val="0024007C"/>
    <w:rsid w:val="0024476B"/>
    <w:rsid w:val="00252658"/>
    <w:rsid w:val="00262522"/>
    <w:rsid w:val="00263BA3"/>
    <w:rsid w:val="00266ED4"/>
    <w:rsid w:val="00267454"/>
    <w:rsid w:val="00267551"/>
    <w:rsid w:val="0027036E"/>
    <w:rsid w:val="00275D52"/>
    <w:rsid w:val="002911AB"/>
    <w:rsid w:val="0029251F"/>
    <w:rsid w:val="0029308C"/>
    <w:rsid w:val="002A0762"/>
    <w:rsid w:val="002A0BD3"/>
    <w:rsid w:val="002A0C80"/>
    <w:rsid w:val="002A5A04"/>
    <w:rsid w:val="002B0035"/>
    <w:rsid w:val="002B19A5"/>
    <w:rsid w:val="002B22AF"/>
    <w:rsid w:val="002B22BB"/>
    <w:rsid w:val="002B2C70"/>
    <w:rsid w:val="002B2CC6"/>
    <w:rsid w:val="002B5335"/>
    <w:rsid w:val="002B55FE"/>
    <w:rsid w:val="002B730A"/>
    <w:rsid w:val="002B76D7"/>
    <w:rsid w:val="002B7D2F"/>
    <w:rsid w:val="002C010E"/>
    <w:rsid w:val="002C1ABD"/>
    <w:rsid w:val="002C2F40"/>
    <w:rsid w:val="002D209B"/>
    <w:rsid w:val="002D5088"/>
    <w:rsid w:val="002D5A9F"/>
    <w:rsid w:val="002D7DCE"/>
    <w:rsid w:val="002E1AA6"/>
    <w:rsid w:val="002E3697"/>
    <w:rsid w:val="002E3AD6"/>
    <w:rsid w:val="002E73EE"/>
    <w:rsid w:val="002E7859"/>
    <w:rsid w:val="002F6A7F"/>
    <w:rsid w:val="0030392E"/>
    <w:rsid w:val="003102A5"/>
    <w:rsid w:val="00312A53"/>
    <w:rsid w:val="00313701"/>
    <w:rsid w:val="0031404F"/>
    <w:rsid w:val="00315123"/>
    <w:rsid w:val="003200B2"/>
    <w:rsid w:val="00320732"/>
    <w:rsid w:val="00321192"/>
    <w:rsid w:val="0032286F"/>
    <w:rsid w:val="0032449C"/>
    <w:rsid w:val="003273B2"/>
    <w:rsid w:val="00330C63"/>
    <w:rsid w:val="003341BD"/>
    <w:rsid w:val="003454E3"/>
    <w:rsid w:val="003532C8"/>
    <w:rsid w:val="0035354B"/>
    <w:rsid w:val="00353DCA"/>
    <w:rsid w:val="00354C43"/>
    <w:rsid w:val="003566F1"/>
    <w:rsid w:val="00357F03"/>
    <w:rsid w:val="00360C9D"/>
    <w:rsid w:val="00363E01"/>
    <w:rsid w:val="00366171"/>
    <w:rsid w:val="00366D8E"/>
    <w:rsid w:val="0037353C"/>
    <w:rsid w:val="0037393E"/>
    <w:rsid w:val="003813FC"/>
    <w:rsid w:val="00382C85"/>
    <w:rsid w:val="00394CE8"/>
    <w:rsid w:val="00395B8F"/>
    <w:rsid w:val="003A0A50"/>
    <w:rsid w:val="003A21D0"/>
    <w:rsid w:val="003A5D1A"/>
    <w:rsid w:val="003A6FAD"/>
    <w:rsid w:val="003A755A"/>
    <w:rsid w:val="003B2A04"/>
    <w:rsid w:val="003B2C5C"/>
    <w:rsid w:val="003B5E21"/>
    <w:rsid w:val="003C0A3F"/>
    <w:rsid w:val="003C2073"/>
    <w:rsid w:val="003C2DCF"/>
    <w:rsid w:val="003C571E"/>
    <w:rsid w:val="003C57C9"/>
    <w:rsid w:val="003D481B"/>
    <w:rsid w:val="003D5180"/>
    <w:rsid w:val="003D7B76"/>
    <w:rsid w:val="003E1E82"/>
    <w:rsid w:val="003E3FCA"/>
    <w:rsid w:val="003E50B6"/>
    <w:rsid w:val="003F34C0"/>
    <w:rsid w:val="003F68F3"/>
    <w:rsid w:val="003F7749"/>
    <w:rsid w:val="00400F75"/>
    <w:rsid w:val="00401E45"/>
    <w:rsid w:val="004021BE"/>
    <w:rsid w:val="004058CA"/>
    <w:rsid w:val="00405FF4"/>
    <w:rsid w:val="004068DA"/>
    <w:rsid w:val="00414B36"/>
    <w:rsid w:val="004157AB"/>
    <w:rsid w:val="00417096"/>
    <w:rsid w:val="00420301"/>
    <w:rsid w:val="004216AA"/>
    <w:rsid w:val="004250DB"/>
    <w:rsid w:val="0042704B"/>
    <w:rsid w:val="00427B1B"/>
    <w:rsid w:val="00427E55"/>
    <w:rsid w:val="00431084"/>
    <w:rsid w:val="004327F3"/>
    <w:rsid w:val="00435751"/>
    <w:rsid w:val="00442388"/>
    <w:rsid w:val="00445DE0"/>
    <w:rsid w:val="00446000"/>
    <w:rsid w:val="0045650D"/>
    <w:rsid w:val="004579C7"/>
    <w:rsid w:val="0046463C"/>
    <w:rsid w:val="00464F1D"/>
    <w:rsid w:val="0046532A"/>
    <w:rsid w:val="00465F14"/>
    <w:rsid w:val="00467CBF"/>
    <w:rsid w:val="004739BF"/>
    <w:rsid w:val="0048131C"/>
    <w:rsid w:val="00485976"/>
    <w:rsid w:val="004A0AE0"/>
    <w:rsid w:val="004A6016"/>
    <w:rsid w:val="004B1A53"/>
    <w:rsid w:val="004B27E6"/>
    <w:rsid w:val="004B34F1"/>
    <w:rsid w:val="004B418F"/>
    <w:rsid w:val="004B45D0"/>
    <w:rsid w:val="004B50F8"/>
    <w:rsid w:val="004B5853"/>
    <w:rsid w:val="004B70BF"/>
    <w:rsid w:val="004C410D"/>
    <w:rsid w:val="004C4B99"/>
    <w:rsid w:val="004D0EB1"/>
    <w:rsid w:val="004D2676"/>
    <w:rsid w:val="004D4FA0"/>
    <w:rsid w:val="004D615B"/>
    <w:rsid w:val="004D633C"/>
    <w:rsid w:val="004E5861"/>
    <w:rsid w:val="004F54CA"/>
    <w:rsid w:val="004F60B8"/>
    <w:rsid w:val="005041BF"/>
    <w:rsid w:val="00507211"/>
    <w:rsid w:val="0051448F"/>
    <w:rsid w:val="00514574"/>
    <w:rsid w:val="005160EF"/>
    <w:rsid w:val="0051750B"/>
    <w:rsid w:val="00522AC5"/>
    <w:rsid w:val="00523097"/>
    <w:rsid w:val="00525F55"/>
    <w:rsid w:val="00526A1B"/>
    <w:rsid w:val="00531C30"/>
    <w:rsid w:val="00533EB4"/>
    <w:rsid w:val="00537371"/>
    <w:rsid w:val="00541C8F"/>
    <w:rsid w:val="00546F35"/>
    <w:rsid w:val="00547E1E"/>
    <w:rsid w:val="00555065"/>
    <w:rsid w:val="00556133"/>
    <w:rsid w:val="00561A97"/>
    <w:rsid w:val="00565E59"/>
    <w:rsid w:val="00566BCF"/>
    <w:rsid w:val="005700C8"/>
    <w:rsid w:val="005712AB"/>
    <w:rsid w:val="005742DA"/>
    <w:rsid w:val="005746D1"/>
    <w:rsid w:val="0057500F"/>
    <w:rsid w:val="00576D5E"/>
    <w:rsid w:val="0058008E"/>
    <w:rsid w:val="005827CA"/>
    <w:rsid w:val="00582AAA"/>
    <w:rsid w:val="00582DFB"/>
    <w:rsid w:val="00586A93"/>
    <w:rsid w:val="00590255"/>
    <w:rsid w:val="00593AAA"/>
    <w:rsid w:val="00594F04"/>
    <w:rsid w:val="005973D9"/>
    <w:rsid w:val="005A1C73"/>
    <w:rsid w:val="005A281A"/>
    <w:rsid w:val="005A2A94"/>
    <w:rsid w:val="005A6741"/>
    <w:rsid w:val="005A7C38"/>
    <w:rsid w:val="005C3F5B"/>
    <w:rsid w:val="005C4C9F"/>
    <w:rsid w:val="005C4EFF"/>
    <w:rsid w:val="005D3502"/>
    <w:rsid w:val="005D463C"/>
    <w:rsid w:val="005E3BC9"/>
    <w:rsid w:val="005E7259"/>
    <w:rsid w:val="005F1CD9"/>
    <w:rsid w:val="005F28BA"/>
    <w:rsid w:val="005F422D"/>
    <w:rsid w:val="005F571D"/>
    <w:rsid w:val="005F7C1D"/>
    <w:rsid w:val="00602533"/>
    <w:rsid w:val="006027AB"/>
    <w:rsid w:val="006075B5"/>
    <w:rsid w:val="006129CD"/>
    <w:rsid w:val="0061494B"/>
    <w:rsid w:val="006215AF"/>
    <w:rsid w:val="00623014"/>
    <w:rsid w:val="006253F1"/>
    <w:rsid w:val="00625B83"/>
    <w:rsid w:val="00627C73"/>
    <w:rsid w:val="006300AB"/>
    <w:rsid w:val="006330BD"/>
    <w:rsid w:val="00637AF0"/>
    <w:rsid w:val="00642C9C"/>
    <w:rsid w:val="0064320A"/>
    <w:rsid w:val="00647A9A"/>
    <w:rsid w:val="00650357"/>
    <w:rsid w:val="006535F1"/>
    <w:rsid w:val="006638DF"/>
    <w:rsid w:val="00664974"/>
    <w:rsid w:val="006706BA"/>
    <w:rsid w:val="00672768"/>
    <w:rsid w:val="006727D2"/>
    <w:rsid w:val="006765FF"/>
    <w:rsid w:val="0068002D"/>
    <w:rsid w:val="00681415"/>
    <w:rsid w:val="00683436"/>
    <w:rsid w:val="006867CC"/>
    <w:rsid w:val="00694239"/>
    <w:rsid w:val="0069722B"/>
    <w:rsid w:val="006A11F2"/>
    <w:rsid w:val="006A32E4"/>
    <w:rsid w:val="006A417D"/>
    <w:rsid w:val="006A4C33"/>
    <w:rsid w:val="006A60C9"/>
    <w:rsid w:val="006A7957"/>
    <w:rsid w:val="006B2225"/>
    <w:rsid w:val="006B72FD"/>
    <w:rsid w:val="006C16F2"/>
    <w:rsid w:val="006C1F39"/>
    <w:rsid w:val="006C3818"/>
    <w:rsid w:val="006C4EE3"/>
    <w:rsid w:val="006C6DAB"/>
    <w:rsid w:val="006C72FB"/>
    <w:rsid w:val="006C7984"/>
    <w:rsid w:val="006C7C01"/>
    <w:rsid w:val="006D38DA"/>
    <w:rsid w:val="006D4203"/>
    <w:rsid w:val="006D4C67"/>
    <w:rsid w:val="006D5873"/>
    <w:rsid w:val="006E0596"/>
    <w:rsid w:val="006E352B"/>
    <w:rsid w:val="006E403B"/>
    <w:rsid w:val="006E4B8D"/>
    <w:rsid w:val="006E6925"/>
    <w:rsid w:val="006E7F5F"/>
    <w:rsid w:val="006F25CA"/>
    <w:rsid w:val="006F2FFC"/>
    <w:rsid w:val="006F5C55"/>
    <w:rsid w:val="006F5C63"/>
    <w:rsid w:val="00701DC6"/>
    <w:rsid w:val="00701E3D"/>
    <w:rsid w:val="00702877"/>
    <w:rsid w:val="00703EB9"/>
    <w:rsid w:val="00704A50"/>
    <w:rsid w:val="00707C57"/>
    <w:rsid w:val="007119B7"/>
    <w:rsid w:val="007120E9"/>
    <w:rsid w:val="00716016"/>
    <w:rsid w:val="0072306E"/>
    <w:rsid w:val="007245D0"/>
    <w:rsid w:val="00725B52"/>
    <w:rsid w:val="007262D0"/>
    <w:rsid w:val="00727760"/>
    <w:rsid w:val="007311BD"/>
    <w:rsid w:val="00731EB7"/>
    <w:rsid w:val="00736F51"/>
    <w:rsid w:val="0073764C"/>
    <w:rsid w:val="00737DEC"/>
    <w:rsid w:val="00742263"/>
    <w:rsid w:val="0075015B"/>
    <w:rsid w:val="00752EE4"/>
    <w:rsid w:val="007565BA"/>
    <w:rsid w:val="0076158F"/>
    <w:rsid w:val="00762169"/>
    <w:rsid w:val="00763A4E"/>
    <w:rsid w:val="00767D12"/>
    <w:rsid w:val="00775944"/>
    <w:rsid w:val="007768AB"/>
    <w:rsid w:val="007776FD"/>
    <w:rsid w:val="00780FF2"/>
    <w:rsid w:val="00781FA3"/>
    <w:rsid w:val="00782BB6"/>
    <w:rsid w:val="00784C33"/>
    <w:rsid w:val="007877B7"/>
    <w:rsid w:val="007878C2"/>
    <w:rsid w:val="00795BFE"/>
    <w:rsid w:val="007A03C8"/>
    <w:rsid w:val="007A2B81"/>
    <w:rsid w:val="007A54EB"/>
    <w:rsid w:val="007B319D"/>
    <w:rsid w:val="007B5C75"/>
    <w:rsid w:val="007B6533"/>
    <w:rsid w:val="007C5B96"/>
    <w:rsid w:val="007D16A0"/>
    <w:rsid w:val="007D3552"/>
    <w:rsid w:val="007D6A19"/>
    <w:rsid w:val="007D72B3"/>
    <w:rsid w:val="007D75C6"/>
    <w:rsid w:val="007E1531"/>
    <w:rsid w:val="007F359A"/>
    <w:rsid w:val="00800B33"/>
    <w:rsid w:val="0080139C"/>
    <w:rsid w:val="0080270A"/>
    <w:rsid w:val="008033CD"/>
    <w:rsid w:val="008050B4"/>
    <w:rsid w:val="00806739"/>
    <w:rsid w:val="00807A5F"/>
    <w:rsid w:val="008131F5"/>
    <w:rsid w:val="00813FF0"/>
    <w:rsid w:val="00815954"/>
    <w:rsid w:val="00815CDA"/>
    <w:rsid w:val="00816D10"/>
    <w:rsid w:val="0082481F"/>
    <w:rsid w:val="008262A6"/>
    <w:rsid w:val="00834095"/>
    <w:rsid w:val="00834AD7"/>
    <w:rsid w:val="00834E8E"/>
    <w:rsid w:val="00836EE5"/>
    <w:rsid w:val="008372EF"/>
    <w:rsid w:val="00842DCF"/>
    <w:rsid w:val="00850A51"/>
    <w:rsid w:val="0085264B"/>
    <w:rsid w:val="00856AA9"/>
    <w:rsid w:val="00861E07"/>
    <w:rsid w:val="00863DE0"/>
    <w:rsid w:val="00870AAC"/>
    <w:rsid w:val="0087344F"/>
    <w:rsid w:val="00873B1A"/>
    <w:rsid w:val="00874E93"/>
    <w:rsid w:val="00876194"/>
    <w:rsid w:val="00877700"/>
    <w:rsid w:val="00877726"/>
    <w:rsid w:val="00886A82"/>
    <w:rsid w:val="00895E12"/>
    <w:rsid w:val="00897412"/>
    <w:rsid w:val="00897F92"/>
    <w:rsid w:val="008A0162"/>
    <w:rsid w:val="008A5957"/>
    <w:rsid w:val="008B039B"/>
    <w:rsid w:val="008C1E36"/>
    <w:rsid w:val="008C73FA"/>
    <w:rsid w:val="008D0F20"/>
    <w:rsid w:val="008D3583"/>
    <w:rsid w:val="008D47F0"/>
    <w:rsid w:val="008D6052"/>
    <w:rsid w:val="008E0DE3"/>
    <w:rsid w:val="008E241A"/>
    <w:rsid w:val="008E42CA"/>
    <w:rsid w:val="008E4B22"/>
    <w:rsid w:val="008E5A0D"/>
    <w:rsid w:val="008E7486"/>
    <w:rsid w:val="008F01F5"/>
    <w:rsid w:val="008F1A37"/>
    <w:rsid w:val="008F5902"/>
    <w:rsid w:val="008F5B91"/>
    <w:rsid w:val="008F7BCB"/>
    <w:rsid w:val="00904F38"/>
    <w:rsid w:val="00905AF6"/>
    <w:rsid w:val="009067D9"/>
    <w:rsid w:val="009074AC"/>
    <w:rsid w:val="00912F4E"/>
    <w:rsid w:val="00916E80"/>
    <w:rsid w:val="00916EED"/>
    <w:rsid w:val="00920A6A"/>
    <w:rsid w:val="00920DC0"/>
    <w:rsid w:val="00921A40"/>
    <w:rsid w:val="009223C2"/>
    <w:rsid w:val="0093092C"/>
    <w:rsid w:val="00930A01"/>
    <w:rsid w:val="00930F5B"/>
    <w:rsid w:val="00935650"/>
    <w:rsid w:val="00937AB7"/>
    <w:rsid w:val="00943E9C"/>
    <w:rsid w:val="00946BCC"/>
    <w:rsid w:val="00951E5C"/>
    <w:rsid w:val="009573BD"/>
    <w:rsid w:val="009574D9"/>
    <w:rsid w:val="00961B93"/>
    <w:rsid w:val="00961C6A"/>
    <w:rsid w:val="00962EFC"/>
    <w:rsid w:val="00972BE6"/>
    <w:rsid w:val="0097465C"/>
    <w:rsid w:val="00980F52"/>
    <w:rsid w:val="00983713"/>
    <w:rsid w:val="00985D22"/>
    <w:rsid w:val="00990560"/>
    <w:rsid w:val="009905D4"/>
    <w:rsid w:val="00990F8D"/>
    <w:rsid w:val="00991CDF"/>
    <w:rsid w:val="009939D1"/>
    <w:rsid w:val="00996EA4"/>
    <w:rsid w:val="00997F20"/>
    <w:rsid w:val="009A0890"/>
    <w:rsid w:val="009A0B5A"/>
    <w:rsid w:val="009A4458"/>
    <w:rsid w:val="009B02B0"/>
    <w:rsid w:val="009B1F79"/>
    <w:rsid w:val="009B2558"/>
    <w:rsid w:val="009B2A30"/>
    <w:rsid w:val="009B34E0"/>
    <w:rsid w:val="009C0B2F"/>
    <w:rsid w:val="009C3032"/>
    <w:rsid w:val="009C3D20"/>
    <w:rsid w:val="009C62D5"/>
    <w:rsid w:val="009D0118"/>
    <w:rsid w:val="009D2856"/>
    <w:rsid w:val="009D2AF7"/>
    <w:rsid w:val="009D4871"/>
    <w:rsid w:val="009D4E14"/>
    <w:rsid w:val="009E268D"/>
    <w:rsid w:val="009E4BD0"/>
    <w:rsid w:val="009F01C1"/>
    <w:rsid w:val="009F3C90"/>
    <w:rsid w:val="009F3FFD"/>
    <w:rsid w:val="009F48D9"/>
    <w:rsid w:val="009F54B7"/>
    <w:rsid w:val="009F68D4"/>
    <w:rsid w:val="00A01AB6"/>
    <w:rsid w:val="00A01D0F"/>
    <w:rsid w:val="00A06353"/>
    <w:rsid w:val="00A07C9B"/>
    <w:rsid w:val="00A12DC8"/>
    <w:rsid w:val="00A1367B"/>
    <w:rsid w:val="00A13C32"/>
    <w:rsid w:val="00A13C47"/>
    <w:rsid w:val="00A20B00"/>
    <w:rsid w:val="00A2234C"/>
    <w:rsid w:val="00A239E9"/>
    <w:rsid w:val="00A2572C"/>
    <w:rsid w:val="00A25FBC"/>
    <w:rsid w:val="00A277A7"/>
    <w:rsid w:val="00A3149D"/>
    <w:rsid w:val="00A3329C"/>
    <w:rsid w:val="00A33B72"/>
    <w:rsid w:val="00A353A3"/>
    <w:rsid w:val="00A36AEB"/>
    <w:rsid w:val="00A40961"/>
    <w:rsid w:val="00A423F6"/>
    <w:rsid w:val="00A43963"/>
    <w:rsid w:val="00A44A8F"/>
    <w:rsid w:val="00A543F0"/>
    <w:rsid w:val="00A64AAE"/>
    <w:rsid w:val="00A65D40"/>
    <w:rsid w:val="00A75EC4"/>
    <w:rsid w:val="00A817D8"/>
    <w:rsid w:val="00A829F2"/>
    <w:rsid w:val="00A84087"/>
    <w:rsid w:val="00A854D0"/>
    <w:rsid w:val="00A8579C"/>
    <w:rsid w:val="00A907C3"/>
    <w:rsid w:val="00A91E53"/>
    <w:rsid w:val="00A92981"/>
    <w:rsid w:val="00A937B4"/>
    <w:rsid w:val="00A9717D"/>
    <w:rsid w:val="00A97B32"/>
    <w:rsid w:val="00A97FBF"/>
    <w:rsid w:val="00AA03BB"/>
    <w:rsid w:val="00AA3C64"/>
    <w:rsid w:val="00AA4F91"/>
    <w:rsid w:val="00AA53B4"/>
    <w:rsid w:val="00AA5C10"/>
    <w:rsid w:val="00AA73F8"/>
    <w:rsid w:val="00AA77EB"/>
    <w:rsid w:val="00AB0359"/>
    <w:rsid w:val="00AB7009"/>
    <w:rsid w:val="00AB9C95"/>
    <w:rsid w:val="00AC242A"/>
    <w:rsid w:val="00AC2802"/>
    <w:rsid w:val="00AC3C34"/>
    <w:rsid w:val="00AC7672"/>
    <w:rsid w:val="00AD28A3"/>
    <w:rsid w:val="00AD5D0B"/>
    <w:rsid w:val="00AE45FF"/>
    <w:rsid w:val="00AE65DD"/>
    <w:rsid w:val="00AE6712"/>
    <w:rsid w:val="00AF09C9"/>
    <w:rsid w:val="00AF1BB8"/>
    <w:rsid w:val="00AF4EE9"/>
    <w:rsid w:val="00AF56A5"/>
    <w:rsid w:val="00AF771C"/>
    <w:rsid w:val="00B024C6"/>
    <w:rsid w:val="00B05B15"/>
    <w:rsid w:val="00B0648C"/>
    <w:rsid w:val="00B06D46"/>
    <w:rsid w:val="00B10841"/>
    <w:rsid w:val="00B10959"/>
    <w:rsid w:val="00B14779"/>
    <w:rsid w:val="00B15456"/>
    <w:rsid w:val="00B15487"/>
    <w:rsid w:val="00B23FD2"/>
    <w:rsid w:val="00B2403F"/>
    <w:rsid w:val="00B31FA6"/>
    <w:rsid w:val="00B33D1E"/>
    <w:rsid w:val="00B34A69"/>
    <w:rsid w:val="00B34CDC"/>
    <w:rsid w:val="00B359F0"/>
    <w:rsid w:val="00B364D2"/>
    <w:rsid w:val="00B41E85"/>
    <w:rsid w:val="00B446E1"/>
    <w:rsid w:val="00B45905"/>
    <w:rsid w:val="00B46846"/>
    <w:rsid w:val="00B50D12"/>
    <w:rsid w:val="00B51894"/>
    <w:rsid w:val="00B53510"/>
    <w:rsid w:val="00B6701A"/>
    <w:rsid w:val="00B709A3"/>
    <w:rsid w:val="00B72853"/>
    <w:rsid w:val="00B74A36"/>
    <w:rsid w:val="00B8070F"/>
    <w:rsid w:val="00B82171"/>
    <w:rsid w:val="00B8330E"/>
    <w:rsid w:val="00B87028"/>
    <w:rsid w:val="00B93270"/>
    <w:rsid w:val="00BA01FF"/>
    <w:rsid w:val="00BA02B7"/>
    <w:rsid w:val="00BB181B"/>
    <w:rsid w:val="00BC1B71"/>
    <w:rsid w:val="00BC4C11"/>
    <w:rsid w:val="00BC4DE5"/>
    <w:rsid w:val="00BC544F"/>
    <w:rsid w:val="00BC6D58"/>
    <w:rsid w:val="00BD0678"/>
    <w:rsid w:val="00BD0814"/>
    <w:rsid w:val="00BD14F8"/>
    <w:rsid w:val="00BD168A"/>
    <w:rsid w:val="00BD4CDD"/>
    <w:rsid w:val="00BD6D89"/>
    <w:rsid w:val="00BD7491"/>
    <w:rsid w:val="00BE6925"/>
    <w:rsid w:val="00BE7472"/>
    <w:rsid w:val="00BE7B1A"/>
    <w:rsid w:val="00BF6104"/>
    <w:rsid w:val="00C001DB"/>
    <w:rsid w:val="00C01DEF"/>
    <w:rsid w:val="00C02BDB"/>
    <w:rsid w:val="00C03DC7"/>
    <w:rsid w:val="00C04A12"/>
    <w:rsid w:val="00C06523"/>
    <w:rsid w:val="00C06CC8"/>
    <w:rsid w:val="00C122FC"/>
    <w:rsid w:val="00C12FA1"/>
    <w:rsid w:val="00C14B26"/>
    <w:rsid w:val="00C15AA5"/>
    <w:rsid w:val="00C15E3A"/>
    <w:rsid w:val="00C25439"/>
    <w:rsid w:val="00C26A78"/>
    <w:rsid w:val="00C27E1A"/>
    <w:rsid w:val="00C312B2"/>
    <w:rsid w:val="00C348B9"/>
    <w:rsid w:val="00C3624A"/>
    <w:rsid w:val="00C37090"/>
    <w:rsid w:val="00C377A9"/>
    <w:rsid w:val="00C37B2A"/>
    <w:rsid w:val="00C44C6A"/>
    <w:rsid w:val="00C46960"/>
    <w:rsid w:val="00C4783F"/>
    <w:rsid w:val="00C52F5C"/>
    <w:rsid w:val="00C6089A"/>
    <w:rsid w:val="00C630B3"/>
    <w:rsid w:val="00C64AA0"/>
    <w:rsid w:val="00C66068"/>
    <w:rsid w:val="00C6632E"/>
    <w:rsid w:val="00C6671C"/>
    <w:rsid w:val="00C70D01"/>
    <w:rsid w:val="00C736F4"/>
    <w:rsid w:val="00C742B8"/>
    <w:rsid w:val="00C749C2"/>
    <w:rsid w:val="00C74B5A"/>
    <w:rsid w:val="00C82DA6"/>
    <w:rsid w:val="00C844D9"/>
    <w:rsid w:val="00C846F0"/>
    <w:rsid w:val="00C85756"/>
    <w:rsid w:val="00C9116B"/>
    <w:rsid w:val="00C9152F"/>
    <w:rsid w:val="00C92954"/>
    <w:rsid w:val="00C92994"/>
    <w:rsid w:val="00C936E8"/>
    <w:rsid w:val="00C967C8"/>
    <w:rsid w:val="00CA1C82"/>
    <w:rsid w:val="00CA24FD"/>
    <w:rsid w:val="00CA3E3B"/>
    <w:rsid w:val="00CB3B44"/>
    <w:rsid w:val="00CB4239"/>
    <w:rsid w:val="00CB4C11"/>
    <w:rsid w:val="00CB59E8"/>
    <w:rsid w:val="00CB71D1"/>
    <w:rsid w:val="00CB7961"/>
    <w:rsid w:val="00CB7D1D"/>
    <w:rsid w:val="00CC0091"/>
    <w:rsid w:val="00CC20B4"/>
    <w:rsid w:val="00CC6C86"/>
    <w:rsid w:val="00CD3E2C"/>
    <w:rsid w:val="00CD3F17"/>
    <w:rsid w:val="00CD4547"/>
    <w:rsid w:val="00CD4F53"/>
    <w:rsid w:val="00CE055A"/>
    <w:rsid w:val="00CE2324"/>
    <w:rsid w:val="00CE3B9D"/>
    <w:rsid w:val="00CE3FF1"/>
    <w:rsid w:val="00CE45C9"/>
    <w:rsid w:val="00CE599F"/>
    <w:rsid w:val="00CE664F"/>
    <w:rsid w:val="00CE6F64"/>
    <w:rsid w:val="00CF08E6"/>
    <w:rsid w:val="00CF1B90"/>
    <w:rsid w:val="00CF218B"/>
    <w:rsid w:val="00CF4963"/>
    <w:rsid w:val="00CF4A82"/>
    <w:rsid w:val="00D03303"/>
    <w:rsid w:val="00D036AD"/>
    <w:rsid w:val="00D04FBC"/>
    <w:rsid w:val="00D0562E"/>
    <w:rsid w:val="00D072C7"/>
    <w:rsid w:val="00D13FED"/>
    <w:rsid w:val="00D14CC0"/>
    <w:rsid w:val="00D15AB6"/>
    <w:rsid w:val="00D17FCE"/>
    <w:rsid w:val="00D22422"/>
    <w:rsid w:val="00D2279F"/>
    <w:rsid w:val="00D248D6"/>
    <w:rsid w:val="00D257DD"/>
    <w:rsid w:val="00D30CF4"/>
    <w:rsid w:val="00D3187C"/>
    <w:rsid w:val="00D319B9"/>
    <w:rsid w:val="00D355FF"/>
    <w:rsid w:val="00D35A28"/>
    <w:rsid w:val="00D40ACF"/>
    <w:rsid w:val="00D43868"/>
    <w:rsid w:val="00D45538"/>
    <w:rsid w:val="00D478EA"/>
    <w:rsid w:val="00D51DE4"/>
    <w:rsid w:val="00D54BD5"/>
    <w:rsid w:val="00D57655"/>
    <w:rsid w:val="00D57A0B"/>
    <w:rsid w:val="00D67E7C"/>
    <w:rsid w:val="00D725E5"/>
    <w:rsid w:val="00D745D4"/>
    <w:rsid w:val="00D74C30"/>
    <w:rsid w:val="00D84AB7"/>
    <w:rsid w:val="00D87AD6"/>
    <w:rsid w:val="00D94586"/>
    <w:rsid w:val="00D95A4C"/>
    <w:rsid w:val="00D96E12"/>
    <w:rsid w:val="00D97921"/>
    <w:rsid w:val="00DB31B7"/>
    <w:rsid w:val="00DB3447"/>
    <w:rsid w:val="00DC0685"/>
    <w:rsid w:val="00DC0A6C"/>
    <w:rsid w:val="00DC184B"/>
    <w:rsid w:val="00DC2B33"/>
    <w:rsid w:val="00DC338C"/>
    <w:rsid w:val="00DE1A76"/>
    <w:rsid w:val="00DE2A22"/>
    <w:rsid w:val="00DE39B4"/>
    <w:rsid w:val="00DE74A7"/>
    <w:rsid w:val="00DF005A"/>
    <w:rsid w:val="00DF07BE"/>
    <w:rsid w:val="00DF1034"/>
    <w:rsid w:val="00E0120E"/>
    <w:rsid w:val="00E0168E"/>
    <w:rsid w:val="00E02042"/>
    <w:rsid w:val="00E02452"/>
    <w:rsid w:val="00E046A4"/>
    <w:rsid w:val="00E0530F"/>
    <w:rsid w:val="00E060D1"/>
    <w:rsid w:val="00E07481"/>
    <w:rsid w:val="00E12815"/>
    <w:rsid w:val="00E12932"/>
    <w:rsid w:val="00E14B7B"/>
    <w:rsid w:val="00E15A85"/>
    <w:rsid w:val="00E1671A"/>
    <w:rsid w:val="00E211C3"/>
    <w:rsid w:val="00E21A9A"/>
    <w:rsid w:val="00E22F35"/>
    <w:rsid w:val="00E239C5"/>
    <w:rsid w:val="00E24FDD"/>
    <w:rsid w:val="00E25C48"/>
    <w:rsid w:val="00E333ED"/>
    <w:rsid w:val="00E34E5C"/>
    <w:rsid w:val="00E40902"/>
    <w:rsid w:val="00E40EC9"/>
    <w:rsid w:val="00E42C69"/>
    <w:rsid w:val="00E4351C"/>
    <w:rsid w:val="00E45E4F"/>
    <w:rsid w:val="00E51811"/>
    <w:rsid w:val="00E52CC9"/>
    <w:rsid w:val="00E60B4A"/>
    <w:rsid w:val="00E62230"/>
    <w:rsid w:val="00E65F93"/>
    <w:rsid w:val="00E67382"/>
    <w:rsid w:val="00E67848"/>
    <w:rsid w:val="00E74933"/>
    <w:rsid w:val="00E74953"/>
    <w:rsid w:val="00E75ECF"/>
    <w:rsid w:val="00E82028"/>
    <w:rsid w:val="00E87176"/>
    <w:rsid w:val="00E876C3"/>
    <w:rsid w:val="00E91478"/>
    <w:rsid w:val="00E91A38"/>
    <w:rsid w:val="00EA3FDA"/>
    <w:rsid w:val="00EA6904"/>
    <w:rsid w:val="00EC048C"/>
    <w:rsid w:val="00EC0971"/>
    <w:rsid w:val="00EC10FE"/>
    <w:rsid w:val="00ED55CE"/>
    <w:rsid w:val="00EE2063"/>
    <w:rsid w:val="00EE6938"/>
    <w:rsid w:val="00EF1CA9"/>
    <w:rsid w:val="00EF323A"/>
    <w:rsid w:val="00EF3C09"/>
    <w:rsid w:val="00F02BE6"/>
    <w:rsid w:val="00F0513D"/>
    <w:rsid w:val="00F10CA0"/>
    <w:rsid w:val="00F27358"/>
    <w:rsid w:val="00F35E10"/>
    <w:rsid w:val="00F36C93"/>
    <w:rsid w:val="00F3723A"/>
    <w:rsid w:val="00F37CD6"/>
    <w:rsid w:val="00F40AD9"/>
    <w:rsid w:val="00F46636"/>
    <w:rsid w:val="00F52D45"/>
    <w:rsid w:val="00F53723"/>
    <w:rsid w:val="00F53E44"/>
    <w:rsid w:val="00F56CF0"/>
    <w:rsid w:val="00F7000C"/>
    <w:rsid w:val="00F72257"/>
    <w:rsid w:val="00F84C80"/>
    <w:rsid w:val="00F9092E"/>
    <w:rsid w:val="00F92A89"/>
    <w:rsid w:val="00FA11F1"/>
    <w:rsid w:val="00FA311E"/>
    <w:rsid w:val="00FA46A3"/>
    <w:rsid w:val="00FB2FE1"/>
    <w:rsid w:val="00FC1334"/>
    <w:rsid w:val="00FC269B"/>
    <w:rsid w:val="00FD1688"/>
    <w:rsid w:val="00FD3829"/>
    <w:rsid w:val="00FD45B7"/>
    <w:rsid w:val="00FE6E2C"/>
    <w:rsid w:val="00FF1429"/>
    <w:rsid w:val="00FF3479"/>
    <w:rsid w:val="013A6EE7"/>
    <w:rsid w:val="014B2600"/>
    <w:rsid w:val="01848FDA"/>
    <w:rsid w:val="0190B467"/>
    <w:rsid w:val="01CCC1B1"/>
    <w:rsid w:val="01F4E351"/>
    <w:rsid w:val="0247109C"/>
    <w:rsid w:val="025A6813"/>
    <w:rsid w:val="027328C9"/>
    <w:rsid w:val="02DB397B"/>
    <w:rsid w:val="03148B5B"/>
    <w:rsid w:val="031A6EEE"/>
    <w:rsid w:val="035ECE65"/>
    <w:rsid w:val="0380F96E"/>
    <w:rsid w:val="03A2FB0B"/>
    <w:rsid w:val="03E931A4"/>
    <w:rsid w:val="0404F3F5"/>
    <w:rsid w:val="04A6C7E0"/>
    <w:rsid w:val="057D3491"/>
    <w:rsid w:val="057EB15E"/>
    <w:rsid w:val="05852321"/>
    <w:rsid w:val="05A0C456"/>
    <w:rsid w:val="0602BDF3"/>
    <w:rsid w:val="060397A4"/>
    <w:rsid w:val="063355A8"/>
    <w:rsid w:val="06834234"/>
    <w:rsid w:val="071AF96A"/>
    <w:rsid w:val="0720F382"/>
    <w:rsid w:val="073FBC3F"/>
    <w:rsid w:val="081F2DE6"/>
    <w:rsid w:val="08574D7F"/>
    <w:rsid w:val="09280B73"/>
    <w:rsid w:val="095011C2"/>
    <w:rsid w:val="098B5F01"/>
    <w:rsid w:val="0A436F13"/>
    <w:rsid w:val="0A684D39"/>
    <w:rsid w:val="0A706C95"/>
    <w:rsid w:val="0AB6D633"/>
    <w:rsid w:val="0AE5B3E8"/>
    <w:rsid w:val="0B17F7D8"/>
    <w:rsid w:val="0B86641D"/>
    <w:rsid w:val="0B8C6090"/>
    <w:rsid w:val="0BF9F4F4"/>
    <w:rsid w:val="0C0969B5"/>
    <w:rsid w:val="0C9E7D01"/>
    <w:rsid w:val="0CD399DF"/>
    <w:rsid w:val="0D1D7747"/>
    <w:rsid w:val="0DA50540"/>
    <w:rsid w:val="0DBE5BAD"/>
    <w:rsid w:val="0DD202C2"/>
    <w:rsid w:val="0DF13DF2"/>
    <w:rsid w:val="0DFD5893"/>
    <w:rsid w:val="0E34C160"/>
    <w:rsid w:val="0E94C85E"/>
    <w:rsid w:val="0EC0F65A"/>
    <w:rsid w:val="0FDF3221"/>
    <w:rsid w:val="10C4151D"/>
    <w:rsid w:val="11162CB8"/>
    <w:rsid w:val="11450BF3"/>
    <w:rsid w:val="1186DAB9"/>
    <w:rsid w:val="11C578B4"/>
    <w:rsid w:val="11DB2FE7"/>
    <w:rsid w:val="12D04F7A"/>
    <w:rsid w:val="137B3F20"/>
    <w:rsid w:val="14526006"/>
    <w:rsid w:val="147D8666"/>
    <w:rsid w:val="14BE16D4"/>
    <w:rsid w:val="1569867E"/>
    <w:rsid w:val="159FA59C"/>
    <w:rsid w:val="1669C146"/>
    <w:rsid w:val="16885CFD"/>
    <w:rsid w:val="16B2E9E0"/>
    <w:rsid w:val="16F6B1DF"/>
    <w:rsid w:val="175EC9AE"/>
    <w:rsid w:val="176F98C1"/>
    <w:rsid w:val="1785898D"/>
    <w:rsid w:val="17B3FBA5"/>
    <w:rsid w:val="17F5B796"/>
    <w:rsid w:val="17FC8CB1"/>
    <w:rsid w:val="184561F7"/>
    <w:rsid w:val="184B6964"/>
    <w:rsid w:val="186075C6"/>
    <w:rsid w:val="188F4CB4"/>
    <w:rsid w:val="194083FB"/>
    <w:rsid w:val="1947FE7C"/>
    <w:rsid w:val="195E6340"/>
    <w:rsid w:val="19766D27"/>
    <w:rsid w:val="19868E2A"/>
    <w:rsid w:val="19E2D1F2"/>
    <w:rsid w:val="1A13EDF1"/>
    <w:rsid w:val="1A200324"/>
    <w:rsid w:val="1AD9B648"/>
    <w:rsid w:val="1AEF0CFB"/>
    <w:rsid w:val="1AF27623"/>
    <w:rsid w:val="1B022EA1"/>
    <w:rsid w:val="1B0427DA"/>
    <w:rsid w:val="1B981688"/>
    <w:rsid w:val="1BFC21D4"/>
    <w:rsid w:val="1C9A64CF"/>
    <w:rsid w:val="1CB38D2C"/>
    <w:rsid w:val="1CB75A30"/>
    <w:rsid w:val="1CE52305"/>
    <w:rsid w:val="1D73D43B"/>
    <w:rsid w:val="1D9949D9"/>
    <w:rsid w:val="1DDC51AC"/>
    <w:rsid w:val="1DE6F79C"/>
    <w:rsid w:val="1F1F7EAD"/>
    <w:rsid w:val="1F37ACF0"/>
    <w:rsid w:val="1F3CD4EF"/>
    <w:rsid w:val="1FD29D09"/>
    <w:rsid w:val="1FD3B0A8"/>
    <w:rsid w:val="200D3689"/>
    <w:rsid w:val="201341A0"/>
    <w:rsid w:val="20485E7E"/>
    <w:rsid w:val="205DFC10"/>
    <w:rsid w:val="2065DCC9"/>
    <w:rsid w:val="21BA6C45"/>
    <w:rsid w:val="21E49386"/>
    <w:rsid w:val="2247F3F7"/>
    <w:rsid w:val="229C4B34"/>
    <w:rsid w:val="22E41FA2"/>
    <w:rsid w:val="22E9EAD9"/>
    <w:rsid w:val="23102987"/>
    <w:rsid w:val="23AFBF49"/>
    <w:rsid w:val="23C58317"/>
    <w:rsid w:val="23DA91BC"/>
    <w:rsid w:val="247D772B"/>
    <w:rsid w:val="248207B2"/>
    <w:rsid w:val="248525DD"/>
    <w:rsid w:val="2525350E"/>
    <w:rsid w:val="252BD285"/>
    <w:rsid w:val="28072666"/>
    <w:rsid w:val="281E37D5"/>
    <w:rsid w:val="283834F5"/>
    <w:rsid w:val="28D15EDD"/>
    <w:rsid w:val="2950E84E"/>
    <w:rsid w:val="296BE41D"/>
    <w:rsid w:val="296E20DB"/>
    <w:rsid w:val="299098DF"/>
    <w:rsid w:val="29A0088C"/>
    <w:rsid w:val="29DF077E"/>
    <w:rsid w:val="2A744CE9"/>
    <w:rsid w:val="2C178AF3"/>
    <w:rsid w:val="2C418B67"/>
    <w:rsid w:val="2C9037C2"/>
    <w:rsid w:val="2D59B2EE"/>
    <w:rsid w:val="2D8F4777"/>
    <w:rsid w:val="2DF87024"/>
    <w:rsid w:val="2E46D7B2"/>
    <w:rsid w:val="2E5634AC"/>
    <w:rsid w:val="2E90CFF1"/>
    <w:rsid w:val="2E9892F3"/>
    <w:rsid w:val="2E9F04B6"/>
    <w:rsid w:val="2EA782EE"/>
    <w:rsid w:val="2EE2CAB0"/>
    <w:rsid w:val="2EEF4CC7"/>
    <w:rsid w:val="2F054B33"/>
    <w:rsid w:val="2F54BF21"/>
    <w:rsid w:val="2F66C07B"/>
    <w:rsid w:val="2F846013"/>
    <w:rsid w:val="2FA4942D"/>
    <w:rsid w:val="300132B7"/>
    <w:rsid w:val="3005644C"/>
    <w:rsid w:val="3008B72E"/>
    <w:rsid w:val="3011A0D3"/>
    <w:rsid w:val="303AD517"/>
    <w:rsid w:val="308D4632"/>
    <w:rsid w:val="30B725A8"/>
    <w:rsid w:val="31460AB9"/>
    <w:rsid w:val="31FED7D2"/>
    <w:rsid w:val="324F23A9"/>
    <w:rsid w:val="32F4D637"/>
    <w:rsid w:val="33493592"/>
    <w:rsid w:val="33DCC997"/>
    <w:rsid w:val="3460C41E"/>
    <w:rsid w:val="350E89C5"/>
    <w:rsid w:val="353367EB"/>
    <w:rsid w:val="3563A8E7"/>
    <w:rsid w:val="35D2ABC6"/>
    <w:rsid w:val="3617A2B5"/>
    <w:rsid w:val="3685FF30"/>
    <w:rsid w:val="371D0160"/>
    <w:rsid w:val="3735D279"/>
    <w:rsid w:val="379C70A2"/>
    <w:rsid w:val="385EEE3D"/>
    <w:rsid w:val="38A2B63C"/>
    <w:rsid w:val="38C2378D"/>
    <w:rsid w:val="38C4BE21"/>
    <w:rsid w:val="38F58E03"/>
    <w:rsid w:val="39343541"/>
    <w:rsid w:val="39833165"/>
    <w:rsid w:val="3A350580"/>
    <w:rsid w:val="3A7160EC"/>
    <w:rsid w:val="3ADDDD37"/>
    <w:rsid w:val="3AE7C5FF"/>
    <w:rsid w:val="3B19A12B"/>
    <w:rsid w:val="3B8D6F12"/>
    <w:rsid w:val="3BA167C0"/>
    <w:rsid w:val="3BBADDFA"/>
    <w:rsid w:val="3CB0BC92"/>
    <w:rsid w:val="3CB7B41B"/>
    <w:rsid w:val="3CC8832E"/>
    <w:rsid w:val="3D1D1F58"/>
    <w:rsid w:val="3D3F4419"/>
    <w:rsid w:val="3D57FDB2"/>
    <w:rsid w:val="3D6906B3"/>
    <w:rsid w:val="3D818B7F"/>
    <w:rsid w:val="3D8BC2EC"/>
    <w:rsid w:val="3E4536E5"/>
    <w:rsid w:val="3E8CA0D0"/>
    <w:rsid w:val="3EA01EA0"/>
    <w:rsid w:val="3EAE651A"/>
    <w:rsid w:val="3EB7C0C9"/>
    <w:rsid w:val="3F8F2999"/>
    <w:rsid w:val="4034A956"/>
    <w:rsid w:val="4076CD5B"/>
    <w:rsid w:val="41576004"/>
    <w:rsid w:val="4183FAE4"/>
    <w:rsid w:val="4212B53C"/>
    <w:rsid w:val="421F2194"/>
    <w:rsid w:val="4249F407"/>
    <w:rsid w:val="4273B4A5"/>
    <w:rsid w:val="434252A8"/>
    <w:rsid w:val="43B63079"/>
    <w:rsid w:val="44154682"/>
    <w:rsid w:val="44354FB4"/>
    <w:rsid w:val="44682C67"/>
    <w:rsid w:val="44B173A9"/>
    <w:rsid w:val="44EE9F18"/>
    <w:rsid w:val="454380E3"/>
    <w:rsid w:val="456C2E12"/>
    <w:rsid w:val="4570FA8C"/>
    <w:rsid w:val="4596AB48"/>
    <w:rsid w:val="45C33ADB"/>
    <w:rsid w:val="45D4F6A5"/>
    <w:rsid w:val="4600C537"/>
    <w:rsid w:val="4601415E"/>
    <w:rsid w:val="461AA5CF"/>
    <w:rsid w:val="461B5EBD"/>
    <w:rsid w:val="463C02FB"/>
    <w:rsid w:val="46C97A30"/>
    <w:rsid w:val="46FDD676"/>
    <w:rsid w:val="47327BA9"/>
    <w:rsid w:val="4732D803"/>
    <w:rsid w:val="478EB4C0"/>
    <w:rsid w:val="47B67630"/>
    <w:rsid w:val="487CCA16"/>
    <w:rsid w:val="48E5C25C"/>
    <w:rsid w:val="4934AB19"/>
    <w:rsid w:val="499A8059"/>
    <w:rsid w:val="49B57C81"/>
    <w:rsid w:val="4B07C56C"/>
    <w:rsid w:val="4B14A820"/>
    <w:rsid w:val="4B95D769"/>
    <w:rsid w:val="4BB86892"/>
    <w:rsid w:val="4BEEB460"/>
    <w:rsid w:val="4BFBAD12"/>
    <w:rsid w:val="4C1BB1E2"/>
    <w:rsid w:val="4C1C7C2B"/>
    <w:rsid w:val="4C80E661"/>
    <w:rsid w:val="4CAF3D20"/>
    <w:rsid w:val="4CCD047A"/>
    <w:rsid w:val="4D213E02"/>
    <w:rsid w:val="4D637B8C"/>
    <w:rsid w:val="4DA5CF0B"/>
    <w:rsid w:val="4DB3186B"/>
    <w:rsid w:val="4E3A7FB5"/>
    <w:rsid w:val="4E5B6FCB"/>
    <w:rsid w:val="4EAD55EC"/>
    <w:rsid w:val="4ED8B19D"/>
    <w:rsid w:val="4EF8F2F9"/>
    <w:rsid w:val="4F246531"/>
    <w:rsid w:val="4F87F435"/>
    <w:rsid w:val="4FD83F32"/>
    <w:rsid w:val="50ADAFC4"/>
    <w:rsid w:val="50D6A834"/>
    <w:rsid w:val="5189487E"/>
    <w:rsid w:val="51A1CB45"/>
    <w:rsid w:val="51E60D9A"/>
    <w:rsid w:val="52848E70"/>
    <w:rsid w:val="5327CF63"/>
    <w:rsid w:val="546B233E"/>
    <w:rsid w:val="54A32C52"/>
    <w:rsid w:val="54CC64AF"/>
    <w:rsid w:val="54D67565"/>
    <w:rsid w:val="54FB9CE1"/>
    <w:rsid w:val="5564F995"/>
    <w:rsid w:val="55850E98"/>
    <w:rsid w:val="55F638C0"/>
    <w:rsid w:val="564BA138"/>
    <w:rsid w:val="569E5DAE"/>
    <w:rsid w:val="56DCDCCC"/>
    <w:rsid w:val="573B43A9"/>
    <w:rsid w:val="57F9B6ED"/>
    <w:rsid w:val="58322A04"/>
    <w:rsid w:val="58382217"/>
    <w:rsid w:val="58934C0B"/>
    <w:rsid w:val="58A3261C"/>
    <w:rsid w:val="58B0D423"/>
    <w:rsid w:val="58B15890"/>
    <w:rsid w:val="58DF4A87"/>
    <w:rsid w:val="59370C7D"/>
    <w:rsid w:val="59A5615F"/>
    <w:rsid w:val="59B9D001"/>
    <w:rsid w:val="5A31CEE4"/>
    <w:rsid w:val="5A3EF67D"/>
    <w:rsid w:val="5A4B45C3"/>
    <w:rsid w:val="5A4D0C2B"/>
    <w:rsid w:val="5A76D21C"/>
    <w:rsid w:val="5B082C8D"/>
    <w:rsid w:val="5B1263D8"/>
    <w:rsid w:val="5B24D3D7"/>
    <w:rsid w:val="5B2E39A3"/>
    <w:rsid w:val="5B4CBCB9"/>
    <w:rsid w:val="5BA3C7E8"/>
    <w:rsid w:val="5BB31C33"/>
    <w:rsid w:val="5C432A4C"/>
    <w:rsid w:val="5C4DFCFE"/>
    <w:rsid w:val="5CF0171A"/>
    <w:rsid w:val="5DC90A5F"/>
    <w:rsid w:val="5DD20BFE"/>
    <w:rsid w:val="5DFA5A39"/>
    <w:rsid w:val="5E29B59B"/>
    <w:rsid w:val="5E331F8E"/>
    <w:rsid w:val="5EAAD154"/>
    <w:rsid w:val="5F103E96"/>
    <w:rsid w:val="5F38689D"/>
    <w:rsid w:val="600C50B6"/>
    <w:rsid w:val="60671808"/>
    <w:rsid w:val="60E56924"/>
    <w:rsid w:val="617A5049"/>
    <w:rsid w:val="61AF792A"/>
    <w:rsid w:val="621841BD"/>
    <w:rsid w:val="62256FCC"/>
    <w:rsid w:val="62C9F4CC"/>
    <w:rsid w:val="62FAAD8D"/>
    <w:rsid w:val="631620AA"/>
    <w:rsid w:val="63211F4A"/>
    <w:rsid w:val="63DA2C97"/>
    <w:rsid w:val="63E639A4"/>
    <w:rsid w:val="63F50F43"/>
    <w:rsid w:val="64269E07"/>
    <w:rsid w:val="643128A6"/>
    <w:rsid w:val="6441FB10"/>
    <w:rsid w:val="6469290C"/>
    <w:rsid w:val="64B1F10B"/>
    <w:rsid w:val="651D30E4"/>
    <w:rsid w:val="656C85F8"/>
    <w:rsid w:val="65735EE4"/>
    <w:rsid w:val="657D5C28"/>
    <w:rsid w:val="65B4037B"/>
    <w:rsid w:val="65E53804"/>
    <w:rsid w:val="65EC8BEE"/>
    <w:rsid w:val="660E6326"/>
    <w:rsid w:val="66B76DAE"/>
    <w:rsid w:val="66EBA0A8"/>
    <w:rsid w:val="6718B59B"/>
    <w:rsid w:val="67BAD7E1"/>
    <w:rsid w:val="6826A534"/>
    <w:rsid w:val="682F1E19"/>
    <w:rsid w:val="68D31358"/>
    <w:rsid w:val="69478C61"/>
    <w:rsid w:val="69DFCFF7"/>
    <w:rsid w:val="69F37848"/>
    <w:rsid w:val="6A88D864"/>
    <w:rsid w:val="6AB29E55"/>
    <w:rsid w:val="6AE464FA"/>
    <w:rsid w:val="6AF74722"/>
    <w:rsid w:val="6B080A32"/>
    <w:rsid w:val="6B5FBA76"/>
    <w:rsid w:val="6B962195"/>
    <w:rsid w:val="6BED5DD8"/>
    <w:rsid w:val="6D2B345B"/>
    <w:rsid w:val="6D43B08A"/>
    <w:rsid w:val="6D7AEABF"/>
    <w:rsid w:val="6EC46C5E"/>
    <w:rsid w:val="6ED6DECD"/>
    <w:rsid w:val="6EFC0649"/>
    <w:rsid w:val="6F06DF0A"/>
    <w:rsid w:val="6F55E111"/>
    <w:rsid w:val="6FBBA87D"/>
    <w:rsid w:val="6FDCF69B"/>
    <w:rsid w:val="6FE69BEA"/>
    <w:rsid w:val="7031E9EA"/>
    <w:rsid w:val="709A900F"/>
    <w:rsid w:val="70B09043"/>
    <w:rsid w:val="70C148C1"/>
    <w:rsid w:val="71F03C96"/>
    <w:rsid w:val="721E0B7E"/>
    <w:rsid w:val="7305ABE9"/>
    <w:rsid w:val="731F17D1"/>
    <w:rsid w:val="7360C7BF"/>
    <w:rsid w:val="73656664"/>
    <w:rsid w:val="74C8C90A"/>
    <w:rsid w:val="74E22438"/>
    <w:rsid w:val="74F00510"/>
    <w:rsid w:val="754826ED"/>
    <w:rsid w:val="75880011"/>
    <w:rsid w:val="75B91E44"/>
    <w:rsid w:val="76F1D826"/>
    <w:rsid w:val="78960026"/>
    <w:rsid w:val="78F8AC8C"/>
    <w:rsid w:val="794A4800"/>
    <w:rsid w:val="798B358E"/>
    <w:rsid w:val="79AC143E"/>
    <w:rsid w:val="79CF193D"/>
    <w:rsid w:val="79D2A14C"/>
    <w:rsid w:val="7A48001F"/>
    <w:rsid w:val="7A4862C1"/>
    <w:rsid w:val="7A4BB8FA"/>
    <w:rsid w:val="7ADD7812"/>
    <w:rsid w:val="7B0EF561"/>
    <w:rsid w:val="7B6B4447"/>
    <w:rsid w:val="7BEF113F"/>
    <w:rsid w:val="7C19E778"/>
    <w:rsid w:val="7C56F3E1"/>
    <w:rsid w:val="7CFE9482"/>
    <w:rsid w:val="7D0714A8"/>
    <w:rsid w:val="7D3EC91D"/>
    <w:rsid w:val="7D8F72CC"/>
    <w:rsid w:val="7D933998"/>
    <w:rsid w:val="7DE01747"/>
    <w:rsid w:val="7E10E1CD"/>
    <w:rsid w:val="7EC561EA"/>
    <w:rsid w:val="7FFDA517"/>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5E3F"/>
  <w15:docId w15:val="{29CDB2C7-BA1B-4E2A-AD11-180C967C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026CB1"/>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customStyle="1" w:styleId="NoteHeading1">
    <w:name w:val="Note Heading1"/>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1"/>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99"/>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paragraph" w:customStyle="1" w:styleId="footnotedescription">
    <w:name w:val="footnote description"/>
    <w:next w:val="Normal"/>
    <w:link w:val="footnotedescriptionChar"/>
    <w:hidden/>
    <w:rsid w:val="003D58F1"/>
    <w:pPr>
      <w:spacing w:after="66" w:line="259" w:lineRule="auto"/>
      <w:ind w:left="682"/>
    </w:pPr>
    <w:rPr>
      <w:rFonts w:ascii="Calibri" w:eastAsia="Calibri" w:hAnsi="Calibri" w:cs="Calibri"/>
      <w:color w:val="000000"/>
      <w:sz w:val="14"/>
      <w:szCs w:val="22"/>
    </w:rPr>
  </w:style>
  <w:style w:type="character" w:customStyle="1" w:styleId="footnotedescriptionChar">
    <w:name w:val="footnote description Char"/>
    <w:link w:val="footnotedescription"/>
    <w:rsid w:val="003D58F1"/>
    <w:rPr>
      <w:rFonts w:ascii="Calibri" w:eastAsia="Calibri" w:hAnsi="Calibri" w:cs="Calibri"/>
      <w:color w:val="000000"/>
      <w:sz w:val="14"/>
      <w:szCs w:val="22"/>
    </w:rPr>
  </w:style>
  <w:style w:type="character" w:customStyle="1" w:styleId="footnotemark">
    <w:name w:val="footnote mark"/>
    <w:hidden/>
    <w:rsid w:val="003D58F1"/>
    <w:rPr>
      <w:rFonts w:ascii="Calibri" w:eastAsia="Calibri" w:hAnsi="Calibri" w:cs="Calibri"/>
      <w:color w:val="000000"/>
      <w:sz w:val="14"/>
      <w:vertAlign w:val="superscript"/>
    </w:rPr>
  </w:style>
  <w:style w:type="table" w:customStyle="1" w:styleId="TableGrid8">
    <w:name w:val="Table Grid8"/>
    <w:basedOn w:val="TableNormal"/>
    <w:next w:val="TableGrid"/>
    <w:uiPriority w:val="39"/>
    <w:rsid w:val="006B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1D5EDA"/>
    <w:pPr>
      <w:spacing w:line="241" w:lineRule="atLeast"/>
    </w:pPr>
    <w:rPr>
      <w:rFonts w:ascii="Arial Narrow" w:hAnsi="Arial Narrow" w:cstheme="minorBidi"/>
      <w:color w:val="auto"/>
    </w:rPr>
  </w:style>
  <w:style w:type="paragraph" w:customStyle="1" w:styleId="ParaAttribute2">
    <w:name w:val="ParaAttribute2"/>
    <w:rsid w:val="00882976"/>
    <w:pPr>
      <w:wordWrap w:val="0"/>
      <w:spacing w:after="160"/>
    </w:pPr>
    <w:rPr>
      <w:rFonts w:ascii="Times New Roman" w:eastAsia="Batang" w:hAnsi="Times New Roman"/>
    </w:rPr>
  </w:style>
  <w:style w:type="paragraph" w:customStyle="1" w:styleId="ParaAttribute3">
    <w:name w:val="ParaAttribute3"/>
    <w:rsid w:val="00882976"/>
    <w:pPr>
      <w:wordWrap w:val="0"/>
      <w:spacing w:after="160"/>
    </w:pPr>
    <w:rPr>
      <w:rFonts w:ascii="Times New Roman" w:eastAsia="Batang" w:hAnsi="Times New Roman"/>
    </w:rPr>
  </w:style>
  <w:style w:type="paragraph" w:customStyle="1" w:styleId="ParaAttribute7">
    <w:name w:val="ParaAttribute7"/>
    <w:rsid w:val="00882976"/>
    <w:pPr>
      <w:wordWrap w:val="0"/>
      <w:jc w:val="both"/>
    </w:pPr>
    <w:rPr>
      <w:rFonts w:ascii="Times New Roman" w:eastAsia="Batang" w:hAnsi="Times New Roman"/>
    </w:rPr>
  </w:style>
  <w:style w:type="paragraph" w:customStyle="1" w:styleId="ParaAttribute9">
    <w:name w:val="ParaAttribute9"/>
    <w:rsid w:val="00882976"/>
    <w:pPr>
      <w:wordWrap w:val="0"/>
      <w:spacing w:after="200"/>
      <w:jc w:val="both"/>
    </w:pPr>
    <w:rPr>
      <w:rFonts w:ascii="Times New Roman" w:eastAsia="Batang" w:hAnsi="Times New Roman"/>
    </w:rPr>
  </w:style>
  <w:style w:type="character" w:customStyle="1" w:styleId="CharAttribute1">
    <w:name w:val="CharAttribute1"/>
    <w:rsid w:val="00882976"/>
    <w:rPr>
      <w:rFonts w:ascii="Calibri" w:eastAsia="Calibri"/>
      <w:b/>
      <w:sz w:val="24"/>
      <w:u w:val="single"/>
    </w:rPr>
  </w:style>
  <w:style w:type="character" w:customStyle="1" w:styleId="CharAttribute9">
    <w:name w:val="CharAttribute9"/>
    <w:rsid w:val="00882976"/>
    <w:rPr>
      <w:rFonts w:ascii="Calibri" w:eastAsia="Calibri"/>
      <w:i/>
      <w:sz w:val="22"/>
    </w:rPr>
  </w:style>
  <w:style w:type="character" w:customStyle="1" w:styleId="CharAttribute14">
    <w:name w:val="CharAttribute14"/>
    <w:rsid w:val="00882976"/>
    <w:rPr>
      <w:rFonts w:ascii="Arial" w:eastAsia="Arial"/>
      <w:sz w:val="24"/>
    </w:rPr>
  </w:style>
  <w:style w:type="character" w:customStyle="1" w:styleId="CharAttribute16">
    <w:name w:val="CharAttribute16"/>
    <w:rsid w:val="00882976"/>
    <w:rPr>
      <w:rFonts w:ascii="Arial" w:eastAsia="Arial"/>
      <w:i/>
      <w:sz w:val="24"/>
    </w:rPr>
  </w:style>
  <w:style w:type="table" w:customStyle="1" w:styleId="TableGrid9">
    <w:name w:val="Table Grid9"/>
    <w:basedOn w:val="TableNormal"/>
    <w:next w:val="TableGrid"/>
    <w:uiPriority w:val="39"/>
    <w:rsid w:val="0008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237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E8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ad1">
    <w:name w:val="lead1"/>
    <w:basedOn w:val="DefaultParagraphFont"/>
    <w:rsid w:val="002D0ADC"/>
    <w:rPr>
      <w:b w:val="0"/>
      <w:bCs w:val="0"/>
      <w:sz w:val="27"/>
      <w:szCs w:val="27"/>
    </w:rPr>
  </w:style>
  <w:style w:type="table" w:customStyle="1" w:styleId="TableGrid11">
    <w:name w:val="Table Grid11"/>
    <w:basedOn w:val="TableNormal"/>
    <w:next w:val="TableGrid"/>
    <w:uiPriority w:val="5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41">
    <w:name w:val="Table List 41"/>
    <w:basedOn w:val="TableNormal"/>
    <w:next w:val="TableList4"/>
    <w:rsid w:val="0026618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2">
    <w:name w:val="Table Grid12"/>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51750B"/>
    <w:rPr>
      <w:color w:val="605E5C"/>
      <w:shd w:val="clear" w:color="auto" w:fill="E1DFDD"/>
    </w:rPr>
  </w:style>
  <w:style w:type="character" w:customStyle="1" w:styleId="Mention1">
    <w:name w:val="Mention1"/>
    <w:basedOn w:val="DefaultParagraphFont"/>
    <w:uiPriority w:val="99"/>
    <w:unhideWhenUsed/>
    <w:rsid w:val="0051750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lancashirecc.sharepoint.com/sites/FinancialManagementOperational/_layouts/15/Doc.aspx?sourcedoc=%7BBF2EB9EA-9F79-45EC-9057-4CE9C6EA0753%7D&amp;file=02.1%20Public%20Health%20and%20Wellbeing%20Q1%202022-23%20service.docx&amp;action=default&amp;mobileredirect=tru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E2FF561CF5F3F41B71DBF3D07593756" ma:contentTypeVersion="12" ma:contentTypeDescription="Create a new document." ma:contentTypeScope="" ma:versionID="d19fef8e8c1362dbdbea62fe252bfaf4">
  <xsd:schema xmlns:xsd="http://www.w3.org/2001/XMLSchema" xmlns:xs="http://www.w3.org/2001/XMLSchema" xmlns:p="http://schemas.microsoft.com/office/2006/metadata/properties" xmlns:ns2="7407a200-7ce4-42fa-8e67-2f4335de98c5" xmlns:ns3="eb1163ee-0472-4b21-9845-77639109b86b" targetNamespace="http://schemas.microsoft.com/office/2006/metadata/properties" ma:root="true" ma:fieldsID="802a8392a35e0ff53663c7d64a059de6" ns2:_="" ns3:_="">
    <xsd:import namespace="7407a200-7ce4-42fa-8e67-2f4335de98c5"/>
    <xsd:import namespace="eb1163ee-0472-4b21-9845-77639109b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a200-7ce4-42fa-8e67-2f4335de9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163ee-0472-4b21-9845-77639109b8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660703-48B8-4AFC-BABD-5C638A1F11F9}">
  <ds:schemaRefs>
    <ds:schemaRef ds:uri="http://schemas.microsoft.com/sharepoint/v3/contenttype/forms"/>
  </ds:schemaRefs>
</ds:datastoreItem>
</file>

<file path=customXml/itemProps2.xml><?xml version="1.0" encoding="utf-8"?>
<ds:datastoreItem xmlns:ds="http://schemas.openxmlformats.org/officeDocument/2006/customXml" ds:itemID="{04F7A203-3190-4793-8ACB-F90CB5F7BD02}">
  <ds:schemaRefs>
    <ds:schemaRef ds:uri="http://schemas.microsoft.com/office/2006/metadata/properties"/>
    <ds:schemaRef ds:uri="http://purl.org/dc/terms/"/>
    <ds:schemaRef ds:uri="http://schemas.microsoft.com/office/2006/documentManagement/types"/>
    <ds:schemaRef ds:uri="7407a200-7ce4-42fa-8e67-2f4335de98c5"/>
    <ds:schemaRef ds:uri="eb1163ee-0472-4b21-9845-77639109b86b"/>
    <ds:schemaRef ds:uri="http://schemas.openxmlformats.org/package/2006/metadata/core-properties"/>
    <ds:schemaRef ds:uri="http://www.w3.org/XML/1998/namespace"/>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61869005-374A-43D9-956D-5F4E606F2824}">
  <ds:schemaRefs>
    <ds:schemaRef ds:uri="http://schemas.openxmlformats.org/officeDocument/2006/bibliography"/>
  </ds:schemaRefs>
</ds:datastoreItem>
</file>

<file path=customXml/itemProps4.xml><?xml version="1.0" encoding="utf-8"?>
<ds:datastoreItem xmlns:ds="http://schemas.openxmlformats.org/officeDocument/2006/customXml" ds:itemID="{0A36606C-0137-478D-83B5-599D42B17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a200-7ce4-42fa-8e67-2f4335de98c5"/>
    <ds:schemaRef ds:uri="eb1163ee-0472-4b21-9845-77639109b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1</TotalTime>
  <Pages>14</Pages>
  <Words>3569</Words>
  <Characters>20346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tboswell001</dc:creator>
  <cp:lastModifiedBy>Lee, Kate</cp:lastModifiedBy>
  <cp:revision>4</cp:revision>
  <cp:lastPrinted>2020-08-19T23:25:00Z</cp:lastPrinted>
  <dcterms:created xsi:type="dcterms:W3CDTF">2022-08-30T12:58:00Z</dcterms:created>
  <dcterms:modified xsi:type="dcterms:W3CDTF">2022-08-30T15:01:00Z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0x0101006E2FF561CF5F3F41B71DBF3D07593756</vt:lpwstr>
  </property>
</Properties>
</file>